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F2137" w:color="auto" w:val="clear"/>
            <w:tcMar>
              <w:top w:type="dxa" w:w="1600"/>
              <w:left w:type="dxa" w:w="600"/>
              <w:bottom w:type="dxa" w:w="1600"/>
              <w:right w:type="dxa" w:w="600"/>
            </w:tcMar>
          </w:tcPr>
          <w:p>
            <w:pPr>
              <w:spacing w:after="500" w:before="0"/>
              <w:jc w:val="center"/>
            </w:pPr>
            <w:r>
              <w:drawing>
                <wp:inline distT="0" distB="0" distL="0" distR="0">
                  <wp:extent cx="2286000" cy="1362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 w:line="30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48"/>
                <w:szCs w:val="48"/>
              </w:rPr>
              <w:t xml:space="preserve">PLANO DE TRABALHO</w:t>
            </w:r>
          </w:p>
          <w:p>
            <w:pPr>
              <w:spacing w:after="60" w:before="0" w:line="300"/>
              <w:jc w:val="center"/>
            </w:pPr>
            <w:r>
              <w:rPr>
                <w:rFonts w:ascii="Poppins" w:cs="Poppins" w:eastAsia="Poppins" w:hAnsi="Poppins"/>
                <w:color w:val="DDE7EF"/>
                <w:sz w:val="26"/>
                <w:szCs w:val="26"/>
              </w:rPr>
              <w:t xml:space="preserve">Parceria Estratégica Fynvex × Associação Bahiana de Medicina</w:t>
            </w:r>
          </w:p>
          <w:p>
            <w:pPr>
              <w:spacing w:after="700" w:before="0" w:line="30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A8A9AD"/>
                <w:sz w:val="21"/>
                <w:szCs w:val="21"/>
              </w:rPr>
              <w:t xml:space="preserve">Antecipação de recebíveis médicos — Departamento de Convênios (DC)</w:t>
            </w:r>
          </w:p>
          <w:p>
            <w:pPr>
              <w:spacing w:after="60" w:before="0" w:line="300"/>
              <w:jc w:val="center"/>
            </w:pPr>
            <w:r>
              <w:rPr>
                <w:rFonts w:ascii="Poppins" w:cs="Poppins" w:eastAsia="Poppins" w:hAnsi="Poppins"/>
                <w:color w:val="DDE7EF"/>
                <w:sz w:val="22"/>
                <w:szCs w:val="22"/>
              </w:rPr>
              <w:t xml:space="preserve">Prontidão operacional: 11 de setembro de 2026</w:t>
            </w:r>
          </w:p>
          <w:p>
            <w:pPr>
              <w:spacing w:after="60" w:before="0" w:line="300"/>
              <w:jc w:val="center"/>
            </w:pPr>
            <w:r>
              <w:rPr>
                <w:rFonts w:ascii="Poppins" w:cs="Poppins" w:eastAsia="Poppins" w:hAnsi="Poppins"/>
                <w:color w:val="DDE7EF"/>
                <w:sz w:val="22"/>
                <w:szCs w:val="22"/>
              </w:rPr>
              <w:t xml:space="preserve">Soft opening: 14 a 30 de setembro de 2026</w:t>
            </w:r>
          </w:p>
          <w:p>
            <w:pPr>
              <w:spacing w:after="700" w:before="0" w:line="30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00A3E4"/>
                <w:sz w:val="26"/>
                <w:szCs w:val="26"/>
              </w:rPr>
              <w:t xml:space="preserve">Lançamento oficial: 1º de outubro de 2026</w:t>
            </w:r>
          </w:p>
          <w:p>
            <w:pPr>
              <w:spacing w:after="60" w:before="0" w:line="30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00A3E4"/>
                <w:sz w:val="22"/>
                <w:szCs w:val="22"/>
              </w:rPr>
              <w:t xml:space="preserve">O Capital que Acelera sua Medicina.</w:t>
            </w:r>
          </w:p>
          <w:p>
            <w:pPr>
              <w:spacing w:after="0" w:before="0" w:line="300"/>
              <w:jc w:val="center"/>
            </w:pPr>
            <w:r>
              <w:rPr>
                <w:rFonts w:ascii="Poppins" w:cs="Poppins" w:eastAsia="Poppins" w:hAnsi="Poppins"/>
                <w:color w:val="A8A9AD"/>
                <w:sz w:val="18"/>
                <w:szCs w:val="18"/>
              </w:rPr>
              <w:t xml:space="preserve">Documento de planejamento — agosto de 2026</w:t>
            </w:r>
          </w:p>
        </w:tc>
      </w:tr>
    </w:tbl>
    <w:p>
      <w:pPr>
        <w:pageBreakBefore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00A3E4" w:sz="12" w:space="4"/>
        </w:pBdr>
        <w:spacing w:after="160" w:before="320" w:line="360"/>
      </w:pPr>
      <w:r>
        <w:rPr>
          <w:rFonts w:ascii="Poppins" w:cs="Poppins" w:eastAsia="Poppins" w:hAnsi="Poppins"/>
          <w:b/>
          <w:bCs/>
          <w:color w:val="0F2137"/>
          <w:sz w:val="28"/>
          <w:szCs w:val="28"/>
        </w:rPr>
        <w:t xml:space="preserve">1. Contexto e Objetivo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A Fynvex firmou, em agosto de 2026, parceria estratégica com a Associação Bahiana de Medicina (ABM) para oferta de antecipação de recebíveis aos médicos e pessoas jurídicas médicas vinculados à Associação. A porta de entrada operacional da parceria será o Departamento de Convênios (DC) da ABM, setor que realiza a gestão das PJs médicas dos associados e que atuará como canal de originação, relacionamento e plataforma de pagamento das operações, por meio de boletos.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O plano obedece a três balizas de calendário: </w:t>
      </w:r>
      <w:r>
        <w:rPr>
          <w:rFonts w:ascii="Poppins" w:cs="Poppins" w:eastAsia="Poppins" w:hAnsi="Poppins"/>
          <w:b/>
          <w:bCs/>
          <w:sz w:val="22"/>
          <w:szCs w:val="22"/>
        </w:rPr>
        <w:t xml:space="preserve">toda a estrutura pronta até 11 de setembro de 2026</w:t>
      </w:r>
      <w:r>
        <w:rPr>
          <w:rFonts w:ascii="Poppins" w:cs="Poppins" w:eastAsia="Poppins" w:hAnsi="Poppins"/>
          <w:sz w:val="22"/>
          <w:szCs w:val="22"/>
        </w:rPr>
        <w:t xml:space="preserve"> (segunda semana de setembro); </w:t>
      </w:r>
      <w:r>
        <w:rPr>
          <w:rFonts w:ascii="Poppins" w:cs="Poppins" w:eastAsia="Poppins" w:hAnsi="Poppins"/>
          <w:b/>
          <w:bCs/>
          <w:sz w:val="22"/>
          <w:szCs w:val="22"/>
        </w:rPr>
        <w:t xml:space="preserve">soft opening na segunda quinzena de setembro</w:t>
      </w:r>
      <w:r>
        <w:rPr>
          <w:rFonts w:ascii="Poppins" w:cs="Poppins" w:eastAsia="Poppins" w:hAnsi="Poppins"/>
          <w:sz w:val="22"/>
          <w:szCs w:val="22"/>
        </w:rPr>
        <w:t xml:space="preserve"> (operação real com grupo restrito, de 14 a 30/09); e </w:t>
      </w:r>
      <w:r>
        <w:rPr>
          <w:rFonts w:ascii="Poppins" w:cs="Poppins" w:eastAsia="Poppins" w:hAnsi="Poppins"/>
          <w:b/>
          <w:bCs/>
          <w:sz w:val="22"/>
          <w:szCs w:val="22"/>
        </w:rPr>
        <w:t xml:space="preserve">lançamento oficial em 1º de outubro de 2026</w:t>
      </w:r>
      <w:r>
        <w:rPr>
          <w:rFonts w:ascii="Poppins" w:cs="Poppins" w:eastAsia="Poppins" w:hAnsi="Poppins"/>
          <w:sz w:val="22"/>
          <w:szCs w:val="22"/>
        </w:rPr>
        <w:t xml:space="preserve">, com campanha de marketing e comunicação.</w:t>
      </w:r>
    </w:p>
    <w:p>
      <w:pPr>
        <w:pStyle w:val="Heading2"/>
        <w:spacing w:after="120" w:before="240" w:line="360"/>
      </w:pPr>
      <w:r>
        <w:rPr>
          <w:rFonts w:ascii="Poppins" w:cs="Poppins" w:eastAsia="Poppins" w:hAnsi="Poppins"/>
          <w:b/>
          <w:bCs/>
          <w:color w:val="124B9A"/>
          <w:sz w:val="24"/>
          <w:szCs w:val="24"/>
        </w:rPr>
        <w:t xml:space="preserve">1.1 Premissas da operação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Modelo de remuneração da ABM: participação de 10% a 15% sobre o fator de deságio efetivamente cobrado pela Fynvex em cada antecipação originada pela parceria. Exemplo: com fator de 3,95% a.m., a ABM recebe entre 0,395% e 0,5925% do valor antecipado.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Liquidação via boleto com split de pagamento: a plataforma do Departamento de Convênios fará o pagamento das operações por boleto; no pagamento haverá split automático, com o cashback (comissão) da ABM creditado diretamente na conta da Associação, sem trânsito pela Fynvex.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Veículo operacional: a Fynvex já opera antecipações (mais de R$ 1 milhão antecipado e mais de 100 profissionais atendidos); a parceria ABM utilizará a estrutura existente, com evolução para a estrutura de securitizadora em paralelo.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Originação das PJs da ABM por dois fluxos: (i) pelo aplicativo/plataforma do próprio DC, que terá um botão dedicado de solicitação de antecipação Fynvex; ou (ii) pelo aplicativo Fynvex diretamente, informando o vínculo com o DC — hipótese em que a Fynvex valida a parceria contra a base de PJs do Departamento antes de atribuir a operação (e o cashback) à ABM.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Arquitetura multiparceiro: as PJs não vinculadas à ABM não dependem dessa validação e podem ser vinculadas a outros gestores ou contabilidades parceiras (ex.: Xandel), cada qual com suas regras de comissionamento; a plataforma manterá cadastro de parceiros, vinculação de cada PJ ao respectivo parceiro e atribuição automática da comissão por operação.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O Departamento de Convênios terá acesso próprio ao sistema (dashboard) Fynvex e módulo de prestação de contas dedicado.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Aplicativo próprio para as PJs médicas, disponível para download nas lojas (App Store e Google Play), como canal de solicitação e acompanhamento das antecipações.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Fluxo do produto: solicitação via sistema/aplicativo → análise de crédito em até 24h úteis → pagamento na conta da PJ do médico → liquidação por boleto via plataforma do DC, com split automático.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Custo zero para a ABM: sem mensalidade, sem taxa de adesão e sem custo de treinamento.</w:t>
      </w:r>
    </w:p>
    <w:p>
      <w:pPr>
        <w:pStyle w:val="Heading1"/>
        <w:pBdr>
          <w:bottom w:val="single" w:color="00A3E4" w:sz="12" w:space="4"/>
        </w:pBdr>
        <w:spacing w:after="160" w:before="320" w:line="360"/>
      </w:pPr>
      <w:r>
        <w:rPr>
          <w:rFonts w:ascii="Poppins" w:cs="Poppins" w:eastAsia="Poppins" w:hAnsi="Poppins"/>
          <w:b/>
          <w:bCs/>
          <w:color w:val="0F2137"/>
          <w:sz w:val="28"/>
          <w:szCs w:val="28"/>
        </w:rPr>
        <w:t xml:space="preserve">2. Governança da Parceria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A execução do plano será conduzida por um Comitê da Parceria, com reuniões quinzenais até o lançamento e mensais a partir de novembro de 2026. Cada parte designará um ponto focal com autonomia decisória para o dia a dia do projeto. Dado o prazo comprimido (cinco semanas até a prontidão), a frente de tecnologia terá rito semanal próprio.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160"/>
        <w:gridCol w:w="2860"/>
      </w:tblGrid>
      <w:tr>
        <w:trPr>
          <w:tblHeader/>
        </w:trPr>
        <w:tc>
          <w:tcPr>
            <w:tcW w:type="dxa" w:w="2340"/>
            <w:shd w:fill="0F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Instância</w:t>
            </w:r>
          </w:p>
        </w:tc>
        <w:tc>
          <w:tcPr>
            <w:tcW w:type="dxa" w:w="4160"/>
            <w:shd w:fill="0F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Composição</w:t>
            </w:r>
          </w:p>
        </w:tc>
        <w:tc>
          <w:tcPr>
            <w:tcW w:type="dxa" w:w="2860"/>
            <w:shd w:fill="0F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Rito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Comitê da Parceria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Sócios Fynvex + Diretoria ABM + Gestor do Depto. de Convênios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Quinzenal até o lançamento; mensal após</w:t>
            </w:r>
          </w:p>
        </w:tc>
      </w:tr>
      <w:tr>
        <w:tc>
          <w:tcPr>
            <w:tcW w:type="dxa" w:w="234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Gestor do projeto</w:t>
            </w:r>
          </w:p>
        </w:tc>
        <w:tc>
          <w:tcPr>
            <w:tcW w:type="dxa" w:w="41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Rodrigo Firpo (Fynvex)</w:t>
            </w:r>
          </w:p>
        </w:tc>
        <w:tc>
          <w:tcPr>
            <w:tcW w:type="dxa" w:w="28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Dedicação contínua; coordena todas as frentes e reporta ao comitê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Ponto focal ABM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Responsável do Departamento de Convênios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Interface única para operação e dúvidas</w:t>
            </w:r>
          </w:p>
        </w:tc>
      </w:tr>
      <w:tr>
        <w:tc>
          <w:tcPr>
            <w:tcW w:type="dxa" w:w="234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Frente de tecnologia</w:t>
            </w:r>
          </w:p>
        </w:tc>
        <w:tc>
          <w:tcPr>
            <w:tcW w:type="dxa" w:w="41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Time técnico Fynvex + TI da plataforma do DC + provedor de boletos</w:t>
            </w:r>
          </w:p>
        </w:tc>
        <w:tc>
          <w:tcPr>
            <w:tcW w:type="dxa" w:w="28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Reunião semanal de integração + daily na semana de testes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Frente de marketing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Marketing Fynvex + Comunicação ABM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Semanal a partir de 17/08</w:t>
            </w:r>
          </w:p>
        </w:tc>
      </w:tr>
      <w:tr>
        <w:tc>
          <w:tcPr>
            <w:tcW w:type="dxa" w:w="234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Frente jurídica</w:t>
            </w:r>
          </w:p>
        </w:tc>
        <w:tc>
          <w:tcPr>
            <w:tcW w:type="dxa" w:w="41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Assessoria jurídica Fynvex</w:t>
            </w:r>
          </w:p>
        </w:tc>
        <w:tc>
          <w:tcPr>
            <w:tcW w:type="dxa" w:w="28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Sob demanda; entregas da Fase 1</w:t>
            </w:r>
          </w:p>
        </w:tc>
      </w:tr>
    </w:tbl>
    <w:p>
      <w:pPr>
        <w:pStyle w:val="Heading1"/>
        <w:pBdr>
          <w:bottom w:val="single" w:color="00A3E4" w:sz="12" w:space="4"/>
        </w:pBdr>
        <w:spacing w:after="160" w:before="320" w:line="360"/>
      </w:pPr>
      <w:r>
        <w:rPr>
          <w:rFonts w:ascii="Poppins" w:cs="Poppins" w:eastAsia="Poppins" w:hAnsi="Poppins"/>
          <w:b/>
          <w:bCs/>
          <w:color w:val="0F2137"/>
          <w:sz w:val="28"/>
          <w:szCs w:val="28"/>
        </w:rPr>
        <w:t xml:space="preserve">3. Fases do Plano de Trabalho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O plano está estruturado em oito fases, parcialmente sobrepostas, de 5 de agosto a 30 de outubro de 2026. Todas as entregas estruturantes (Fases 1 a 5) convergem para a prontidão operacional em 11 de setembro. O detalhamento de tarefas, datas e responsáveis consta do cronograma anexo (planilha Excel).</w:t>
      </w:r>
    </w:p>
    <w:p>
      <w:pPr>
        <w:pStyle w:val="Heading2"/>
        <w:spacing w:after="120" w:before="240" w:line="360"/>
      </w:pPr>
      <w:r>
        <w:rPr>
          <w:rFonts w:ascii="Poppins" w:cs="Poppins" w:eastAsia="Poppins" w:hAnsi="Poppins"/>
          <w:b/>
          <w:bCs/>
          <w:color w:val="124B9A"/>
          <w:sz w:val="24"/>
          <w:szCs w:val="24"/>
        </w:rPr>
        <w:t xml:space="preserve">Fase 0 — Alinhamento e governança (05/08 a 14/08)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Kickoff interno da Fynvex sob coordenação de Rodrigo Firpo, gestor do projeto; reunião de kickoff conjunta com a diretoria da ABM e o Departamento de Convênios para validação do plano, nomeação dos pontos focais e instituição do comitê; kickoff técnico com a equipe da plataforma do DC e com o provedor da solução de boletos para levantamento das especificações de integração e do arranjo de split.</w:t>
      </w:r>
    </w:p>
    <w:p>
      <w:pPr>
        <w:pStyle w:val="Heading2"/>
        <w:spacing w:after="120" w:before="240" w:line="360"/>
      </w:pPr>
      <w:r>
        <w:rPr>
          <w:rFonts w:ascii="Poppins" w:cs="Poppins" w:eastAsia="Poppins" w:hAnsi="Poppins"/>
          <w:b/>
          <w:bCs/>
          <w:color w:val="124B9A"/>
          <w:sz w:val="24"/>
          <w:szCs w:val="24"/>
        </w:rPr>
        <w:t xml:space="preserve">Fase 1 — Formalização jurídica (10/08 a 28/08)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Celebração do contrato de parceria com a ABM: fechamento do percentual definitivo de comissão dentro da faixa acordada (10% a 15% do deságio), elaboração da minuta, negociação, aprovação interna na ABM e assinatura digital até 28 de agosto. Integram ainda esta fase: o acordo de tratamento de dados pessoais (LGPD) disciplinando o compartilhamento da base de associados; a revisão dos instrumentos da operação (contrato de cessão de créditos com as PJs médicas e termos de uso da plataforma e do aplicativo); e a contratação/formalização do arranjo de split de pagamento junto à instituição responsável pela solução de boletos, com previsão expressa do cashback da ABM creditado diretamente em sua conta.</w:t>
      </w:r>
    </w:p>
    <w:p>
      <w:pPr>
        <w:pStyle w:val="Heading2"/>
        <w:spacing w:after="120" w:before="240" w:line="360"/>
      </w:pPr>
      <w:r>
        <w:rPr>
          <w:rFonts w:ascii="Poppins" w:cs="Poppins" w:eastAsia="Poppins" w:hAnsi="Poppins"/>
          <w:b/>
          <w:bCs/>
          <w:color w:val="124B9A"/>
          <w:sz w:val="24"/>
          <w:szCs w:val="24"/>
        </w:rPr>
        <w:t xml:space="preserve">Fase 2 — Estruturação operacional e de crédito (10/08 a 04/09)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Definição da política de crédito e dos critérios de elegibilidade específicos para a carteira ABM (devedores aceitos, limites por PJ, ticket mínimo e máximo, prazos); dimensionamento do funding necessário para o volume projetado; desenho do fluxo financeiro completo — emissão do boleto pela plataforma do DC, pagamento, split automático (parcela Fynvex e cashback ABM) e conciliação; definição das regras de apuração e do modelo de prestação de contas mensal à ABM; mapeamento dos processos do Departamento de Convênios; implementação dos mitigadores de risco da operação — notificação dos devedores, registro das cessões e trava de liquidação.</w:t>
      </w:r>
    </w:p>
    <w:p>
      <w:pPr>
        <w:pStyle w:val="Heading2"/>
        <w:spacing w:after="120" w:before="240" w:line="360"/>
      </w:pPr>
      <w:r>
        <w:rPr>
          <w:rFonts w:ascii="Poppins" w:cs="Poppins" w:eastAsia="Poppins" w:hAnsi="Poppins"/>
          <w:b/>
          <w:bCs/>
          <w:color w:val="124B9A"/>
          <w:sz w:val="24"/>
          <w:szCs w:val="24"/>
        </w:rPr>
        <w:t xml:space="preserve">Fase 3 — Tecnologia e integrações (10/08 a 11/09)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É a frente crítica do cronograma — cinco semanas para as entregas abaixo. A fase abre com uma etapa formal de especificação: o Gestor do projeto (Rodrigo Firpo) consolida a especificação técnica do aplicativo e das integrações (a partir da especificação geral do app, do protótipo v0.1.0 e das decisões pendentes) e a entrega formalmente à área de TI até 14 de agosto, no mesmo ato do congelamento do escopo do MVP — nenhuma linha de desenvolvimento começa sem especificação aceita pela TI.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Presença digital: página da internet (site institucional) no ar e perfis de LinkedIn e Instagram ativos, com identidade visual, até 28 de agosto — antes do início da campanha de pré-lançamento;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Aplicativo para as PJs: escopo do MVP congelado até 14/08, desenvolvimento e homologação até 28/08, submissão às lojas (App Store e Google Play) até 1º de setembro e publicação até 11 de setembro, considerando os prazos de revisão da Apple e do Google;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Integração com a plataforma do Departamento de Convênios em duas frentes: o botão de solicitação de antecipação Fynvex dentro do aplicativo/plataforma do DC e o fluxo de pagamento das operações via boleto — especificação congelada até 21/08, desenvolvimento, testes e homologação conjunta até 04/09;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Motor de atribuição de parceiros: fluxo de autodeclaração de vínculo ABM no aplicativo Fynvex com validação contra a base de PJs do DC, e cadastro multiparceiro (gestoras e contabilidades, ex.: Xandel) com vinculação de PJs e regras de comissão por parceiro, até 04/09;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Integração da Fynvex com a solução de boletos: emissão, registro, baixa e conciliação, incluindo a configuração do split de pagamento com cashback automático na conta da ABM, homologada até 04/09;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Módulo de prestação de contas com a ABM: relatórios de operações, deságio, comissões e repasses, acessível ao Departamento de Convênios no dashboard, até 04/09;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A fase se encerra com testes integrados ponta a ponta (solicitação no app → análise → pagamento à PJ → boleto via plataforma do DC → split → prestação de contas) de 7 a 11 de setembro, fechando a prontidão operacional em 11/09.</w:t>
      </w:r>
    </w:p>
    <w:p>
      <w:pPr>
        <w:pStyle w:val="Heading2"/>
        <w:spacing w:after="120" w:before="240" w:line="360"/>
      </w:pPr>
      <w:r>
        <w:rPr>
          <w:rFonts w:ascii="Poppins" w:cs="Poppins" w:eastAsia="Poppins" w:hAnsi="Poppins"/>
          <w:b/>
          <w:bCs/>
          <w:color w:val="124B9A"/>
          <w:sz w:val="24"/>
          <w:szCs w:val="24"/>
        </w:rPr>
        <w:t xml:space="preserve">Fase 4 — Acessos, treinamento e suporte técnico (24/08 a 11/09)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Criação dos acessos do Departamento de Convênios ao sistema Fynvex; treinamento da equipe do Departamento, incluindo o módulo de prestação de contas; produção do FAQ e do roteiro de atendimento; simulado operacional com a equipe do DC na semana de 7 de setembro.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Estruturação do suporte técnico. </w:t>
      </w:r>
      <w:r>
        <w:rPr>
          <w:rFonts w:ascii="Poppins" w:cs="Poppins" w:eastAsia="Poppins" w:hAnsi="Poppins"/>
          <w:sz w:val="22"/>
          <w:szCs w:val="22"/>
        </w:rPr>
        <w:t xml:space="preserve">A operação contará com suporte estruturado em dois níveis: N1 no Departamento de Convênios (dúvidas de cadastro, uso do aplicativo e acompanhamento de solicitações, apoiado no FAQ e nos roteiros de atendimento) e N2 na Fynvex (questões técnicas do app e das integrações, análise de crédito, boletos, split e financeiro). Entregas da fase: definição do modelo e dos SLAs (primeira resposta em até 2h úteis; resolução conforme criticidade), implantação dos canais oficiais (WhatsApp Business e e-mail de suporte) com ferramenta de registro e acompanhamento de chamados, base de conhecimento e matriz de escalonamento — tudo implantado até 11/09. Durante o soft opening e nas duas primeiras semanas após o lançamento haverá plantão reforçado com acompanhamento diário dos chamados.</w:t>
      </w:r>
    </w:p>
    <w:p>
      <w:pPr>
        <w:pStyle w:val="Heading2"/>
        <w:spacing w:after="120" w:before="240" w:line="360"/>
      </w:pPr>
      <w:r>
        <w:rPr>
          <w:rFonts w:ascii="Poppins" w:cs="Poppins" w:eastAsia="Poppins" w:hAnsi="Poppins"/>
          <w:b/>
          <w:bCs/>
          <w:color w:val="124B9A"/>
          <w:sz w:val="24"/>
          <w:szCs w:val="24"/>
        </w:rPr>
        <w:t xml:space="preserve">Fase 5 — Campanha de marketing e comunicação (17/08 em diante)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Frente dedicada, em quatro ondas: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Estratégia e plano de campanha (17 a 28/08): posicionamento, mensagens-chave ("não é empréstimo", liquidez em 24h, parceria ABM), públicos (médicos associados, PJs, contadores), canais e orçamento;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Produção de materiais co-branded (24/08 a 11/09): peças para e-mail, WhatsApp, Instagram e LinkedIn, landing page da parceria, vídeo curto de lançamento e materiais impressos para a sede da ABM, com aprovação da comunicação da ABM;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Pré-lançamento/teaser (14 a 30/09), em paralelo ao soft opening: conteúdo institucional nas redes, aquecimento da base por e-mail e captação de depoimentos dos médicos do grupo piloto;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Lançamento e sustentação (a partir de 01/10): campanha completa nos canais Fynvex e ABM nas duas primeiras semanas de outubro, seguida de calendário de sustentação com casos de sucesso e conteúdo educativo;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Ação especial Dia do Médico — 18 de outubro: aproveitamento do principal evento do calendário da ABM como primeira grande ativação da parceria pós-lançamento. Frentes sugeridas, a validar com a comunicação da ABM: (i) presença/patrocínio da Fynvex nas comemorações oficiais da ABM, com stand e equipe para cadastro assistido no aplicativo; (ii) condição comemorativa de lançamento — redução promocional do fator de deságio para as primeiras antecipações solicitadas na semana do Dia do Médico (ex.: fator promocional na 1ª operação); (iii) campanha de homenagem co-branded nas redes (LinkedIn e Instagram) e e-mail aos associados, conectando a mensagem "quem cuida de todos merece receber em 24h"; e (iv) brinde/benefício simbólico aos primeiros associados que ativarem a conta. Planejamento em setembro, execução de 12 a 18 de outubro.</w:t>
      </w:r>
    </w:p>
    <w:p>
      <w:pPr>
        <w:pStyle w:val="Heading2"/>
        <w:spacing w:after="120" w:before="240" w:line="360"/>
      </w:pPr>
      <w:r>
        <w:rPr>
          <w:rFonts w:ascii="Poppins" w:cs="Poppins" w:eastAsia="Poppins" w:hAnsi="Poppins"/>
          <w:b/>
          <w:bCs/>
          <w:color w:val="124B9A"/>
          <w:sz w:val="24"/>
          <w:szCs w:val="24"/>
        </w:rPr>
        <w:t xml:space="preserve">Fase 6 — Soft opening (14/09 a 30/09)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Operação real com grupo restrito de 5 a 10 médicos/PJs indicados pelo Departamento de Convênios: operações ponta a ponta com uso do aplicativo e liquidação real por boleto com split; validação do crédito do cashback na conta da ABM e do módulo de prestação de contas; avaliação estruturada com ajustes de fluxo, sistema e materiais; decisão formal de Go/No-Go pelo comitê em 30 de setembro.</w:t>
      </w:r>
    </w:p>
    <w:p>
      <w:pPr>
        <w:pStyle w:val="Heading2"/>
        <w:spacing w:after="120" w:before="240" w:line="360"/>
      </w:pPr>
      <w:r>
        <w:rPr>
          <w:rFonts w:ascii="Poppins" w:cs="Poppins" w:eastAsia="Poppins" w:hAnsi="Poppins"/>
          <w:b/>
          <w:bCs/>
          <w:color w:val="124B9A"/>
          <w:sz w:val="24"/>
          <w:szCs w:val="24"/>
        </w:rPr>
        <w:t xml:space="preserve">Fase 7 — Lançamento oficial e rampa (01/10 a 30/10)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Lançamento oficial em 1º de outubro de 2026 com a campanha de marketing em todos os canais; rotina de acompanhamento semanal de indicadores (volume, conversão, glosas, SLA); primeira prestação de contas mensal à ABM na primeira semana de novembro — observando que, pelo mecanismo de split, o cashback da ABM é creditado automaticamente a cada boleto pago, cabendo à prestação de contas a função de conferência e transparência; reunião do comitê em 30 de outubro para avaliação do primeiro mês e fixação das metas do trimestre. Com a operação estabilizada, inicia-se o onboarding de novos parceiros de originação (gestoras de PJs e contabilidades, ex.: Xandel), aproveitando a arquitetura multiparceiro já implantada.</w:t>
      </w:r>
    </w:p>
    <w:p>
      <w:pPr>
        <w:pStyle w:val="Heading1"/>
        <w:pBdr>
          <w:bottom w:val="single" w:color="00A3E4" w:sz="12" w:space="4"/>
        </w:pBdr>
        <w:spacing w:after="160" w:before="320" w:line="360"/>
      </w:pPr>
      <w:r>
        <w:rPr>
          <w:rFonts w:ascii="Poppins" w:cs="Poppins" w:eastAsia="Poppins" w:hAnsi="Poppins"/>
          <w:b/>
          <w:bCs/>
          <w:color w:val="0F2137"/>
          <w:sz w:val="28"/>
          <w:szCs w:val="28"/>
        </w:rPr>
        <w:t xml:space="preserve">4. Marcos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rPr>
          <w:tblHeader/>
        </w:trPr>
        <w:tc>
          <w:tcPr>
            <w:tcW w:type="dxa" w:w="4680"/>
            <w:shd w:fill="0F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Marco</w:t>
            </w:r>
          </w:p>
        </w:tc>
        <w:tc>
          <w:tcPr>
            <w:tcW w:type="dxa" w:w="1560"/>
            <w:shd w:fill="0F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3120"/>
            <w:shd w:fill="0F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Kickoff conjunto Fynvex × ABM e kickoff técnico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14/08/2026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 + ABM</w:t>
            </w:r>
          </w:p>
        </w:tc>
      </w:tr>
      <w:tr>
        <w:tc>
          <w:tcPr>
            <w:tcW w:type="dxa" w:w="468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Percentual de comissão definido (10%–15% do deságio)</w:t>
            </w:r>
          </w:p>
        </w:tc>
        <w:tc>
          <w:tcPr>
            <w:tcW w:type="dxa" w:w="15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14/08/2026</w:t>
            </w:r>
          </w:p>
        </w:tc>
        <w:tc>
          <w:tcPr>
            <w:tcW w:type="dxa" w:w="312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 + ABM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Especificação técnica entregue pelo Gestor à TI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14/08/2026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Gestor / TI</w:t>
            </w:r>
          </w:p>
        </w:tc>
      </w:tr>
      <w:tr>
        <w:tc>
          <w:tcPr>
            <w:tcW w:type="dxa" w:w="468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Escopo do MVP do aplicativo congelado</w:t>
            </w:r>
          </w:p>
        </w:tc>
        <w:tc>
          <w:tcPr>
            <w:tcW w:type="dxa" w:w="15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14/08/2026</w:t>
            </w:r>
          </w:p>
        </w:tc>
        <w:tc>
          <w:tcPr>
            <w:tcW w:type="dxa" w:w="312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Contrato de parceria ABM assinado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28/08/2026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 + ABM</w:t>
            </w:r>
          </w:p>
        </w:tc>
      </w:tr>
      <w:tr>
        <w:tc>
          <w:tcPr>
            <w:tcW w:type="dxa" w:w="468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Site, LinkedIn e Instagram no ar</w:t>
            </w:r>
          </w:p>
        </w:tc>
        <w:tc>
          <w:tcPr>
            <w:tcW w:type="dxa" w:w="15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28/08/2026</w:t>
            </w:r>
          </w:p>
        </w:tc>
        <w:tc>
          <w:tcPr>
            <w:tcW w:type="dxa" w:w="312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Arranjo de split contratado com o provedor de boletos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28/08/2026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</w:t>
            </w:r>
          </w:p>
        </w:tc>
      </w:tr>
      <w:tr>
        <w:tc>
          <w:tcPr>
            <w:tcW w:type="dxa" w:w="468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Aplicativo submetido às lojas (App Store / Google Play)</w:t>
            </w:r>
          </w:p>
        </w:tc>
        <w:tc>
          <w:tcPr>
            <w:tcW w:type="dxa" w:w="15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01/09/2026</w:t>
            </w:r>
          </w:p>
        </w:tc>
        <w:tc>
          <w:tcPr>
            <w:tcW w:type="dxa" w:w="312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Integrações DC + boletos + split homologadas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04/09/2026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 + DC</w:t>
            </w:r>
          </w:p>
        </w:tc>
      </w:tr>
      <w:tr>
        <w:tc>
          <w:tcPr>
            <w:tcW w:type="dxa" w:w="468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Módulo de prestação de contas entregue</w:t>
            </w:r>
          </w:p>
        </w:tc>
        <w:tc>
          <w:tcPr>
            <w:tcW w:type="dxa" w:w="15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04/09/2026</w:t>
            </w:r>
          </w:p>
        </w:tc>
        <w:tc>
          <w:tcPr>
            <w:tcW w:type="dxa" w:w="312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Equipe do Depto. de Convênios treinada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04/09/2026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 + ABM</w:t>
            </w:r>
          </w:p>
        </w:tc>
      </w:tr>
      <w:tr>
        <w:tc>
          <w:tcPr>
            <w:tcW w:type="dxa" w:w="468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Testes integrados ponta a ponta concluídos</w:t>
            </w:r>
          </w:p>
        </w:tc>
        <w:tc>
          <w:tcPr>
            <w:tcW w:type="dxa" w:w="15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11/09/2026</w:t>
            </w:r>
          </w:p>
        </w:tc>
        <w:tc>
          <w:tcPr>
            <w:tcW w:type="dxa" w:w="312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 + DC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Estrutura de suporte técnico implantada (N1 DC / N2 Fynvex)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11/09/2026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 + DC</w:t>
            </w:r>
          </w:p>
        </w:tc>
      </w:tr>
      <w:tr>
        <w:tc>
          <w:tcPr>
            <w:tcW w:type="dxa" w:w="468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PRONTIDÃO OPERACIONAL COMPLETA</w:t>
            </w:r>
          </w:p>
        </w:tc>
        <w:tc>
          <w:tcPr>
            <w:tcW w:type="dxa" w:w="15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11/09/2026</w:t>
            </w:r>
          </w:p>
        </w:tc>
        <w:tc>
          <w:tcPr>
            <w:tcW w:type="dxa" w:w="312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Todos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Início do soft opening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14/09/2026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 + ABM</w:t>
            </w:r>
          </w:p>
        </w:tc>
      </w:tr>
      <w:tr>
        <w:tc>
          <w:tcPr>
            <w:tcW w:type="dxa" w:w="468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Go/No-Go do comitê</w:t>
            </w:r>
          </w:p>
        </w:tc>
        <w:tc>
          <w:tcPr>
            <w:tcW w:type="dxa" w:w="15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30/09/2026</w:t>
            </w:r>
          </w:p>
        </w:tc>
        <w:tc>
          <w:tcPr>
            <w:tcW w:type="dxa" w:w="312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Comitê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LANÇAMENTO OFICIAL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01/10/2026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 + ABM</w:t>
            </w:r>
          </w:p>
        </w:tc>
      </w:tr>
      <w:tr>
        <w:tc>
          <w:tcPr>
            <w:tcW w:type="dxa" w:w="468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Ação Dia do Médico (evento ABM + campanha)</w:t>
            </w:r>
          </w:p>
        </w:tc>
        <w:tc>
          <w:tcPr>
            <w:tcW w:type="dxa" w:w="15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18/10/2026</w:t>
            </w:r>
          </w:p>
        </w:tc>
        <w:tc>
          <w:tcPr>
            <w:tcW w:type="dxa" w:w="312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 + ABM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Comitê de avaliação do 1º mês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30/10/2026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Comitê</w:t>
            </w:r>
          </w:p>
        </w:tc>
      </w:tr>
      <w:tr>
        <w:tc>
          <w:tcPr>
            <w:tcW w:type="dxa" w:w="468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Primeira prestação de contas mensal à ABM</w:t>
            </w:r>
          </w:p>
        </w:tc>
        <w:tc>
          <w:tcPr>
            <w:tcW w:type="dxa" w:w="15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06/11/2026</w:t>
            </w:r>
          </w:p>
        </w:tc>
        <w:tc>
          <w:tcPr>
            <w:tcW w:type="dxa" w:w="312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Fynvex</w:t>
            </w:r>
          </w:p>
        </w:tc>
      </w:tr>
    </w:tbl>
    <w:p>
      <w:pPr>
        <w:pStyle w:val="Heading1"/>
        <w:pBdr>
          <w:bottom w:val="single" w:color="00A3E4" w:sz="12" w:space="4"/>
        </w:pBdr>
        <w:spacing w:after="160" w:before="320" w:line="360"/>
      </w:pPr>
      <w:r>
        <w:rPr>
          <w:rFonts w:ascii="Poppins" w:cs="Poppins" w:eastAsia="Poppins" w:hAnsi="Poppins"/>
          <w:b/>
          <w:bCs/>
          <w:color w:val="0F2137"/>
          <w:sz w:val="28"/>
          <w:szCs w:val="28"/>
        </w:rPr>
        <w:t xml:space="preserve">5. Indicadores de Acompanhamento (KPIs)</w:t>
      </w:r>
    </w:p>
    <w:p>
      <w:pPr>
        <w:spacing w:after="12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Os indicadores abaixo serão apurados semanalmente durante a rampa e consolidados mensalmente no módulo de prestação de contas: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Número de médicos/PJs cadastrados e ativos originados pela ABM, e downloads/ativação do aplicativo;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Volume financeiro antecipado (mensal e acumulado) e ticket médio por operação;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Taxa de conversão da base de associados abordada pela campanha e desempenho das peças (abertura, cliques, leads);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Prazo médio de análise (SLA de 24h úteis) e de pagamento;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Índice de glosa e de inadimplência; taxa de liquidação dos boletos no vencimento;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Cashback creditado à ABM via split no mês e acumulado (conferido na prestação de contas);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Suporte técnico: volume de chamados, SLA de primeira resposta (meta: 2h úteis), tempo de resolução e satisfação do atendimento.</w:t>
      </w:r>
    </w:p>
    <w:p>
      <w:pPr>
        <w:pStyle w:val="Heading1"/>
        <w:pBdr>
          <w:bottom w:val="single" w:color="00A3E4" w:sz="12" w:space="4"/>
        </w:pBdr>
        <w:spacing w:after="160" w:before="320" w:line="360"/>
      </w:pPr>
      <w:r>
        <w:rPr>
          <w:rFonts w:ascii="Poppins" w:cs="Poppins" w:eastAsia="Poppins" w:hAnsi="Poppins"/>
          <w:b/>
          <w:bCs/>
          <w:color w:val="0F2137"/>
          <w:sz w:val="28"/>
          <w:szCs w:val="28"/>
        </w:rPr>
        <w:t xml:space="preserve">6. Matriz de Riscos e Mitigação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2600"/>
        <w:gridCol w:w="3900"/>
      </w:tblGrid>
      <w:tr>
        <w:trPr>
          <w:tblHeader/>
        </w:trPr>
        <w:tc>
          <w:tcPr>
            <w:tcW w:type="dxa" w:w="2860"/>
            <w:shd w:fill="0F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Risco</w:t>
            </w:r>
          </w:p>
        </w:tc>
        <w:tc>
          <w:tcPr>
            <w:tcW w:type="dxa" w:w="2600"/>
            <w:shd w:fill="0F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3900"/>
            <w:shd w:fill="0F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Mitigação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Prazo comprimido: 5 semanas até a prontidão (11/09)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Atraso em qualquer frente compromete o soft opening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Escopos congelados até 21/08; rito semanal por frente; daily na semana de testes</w:t>
            </w:r>
          </w:p>
        </w:tc>
      </w:tr>
      <w:tr>
        <w:tc>
          <w:tcPr>
            <w:tcW w:type="dxa" w:w="28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Reprovação ou demora na revisão do app nas lojas</w:t>
            </w:r>
          </w:p>
        </w:tc>
        <w:tc>
          <w:tcPr>
            <w:tcW w:type="dxa" w:w="26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Soft opening sem o canal principal das PJs</w:t>
            </w:r>
          </w:p>
        </w:tc>
        <w:tc>
          <w:tcPr>
            <w:tcW w:type="dxa" w:w="39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Submissão até 01/09 com folga; plano B: solicitação via dashboard web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Complexidade da integração com a plataforma do DC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Atraso na frente crítica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Kickoff técnico em 14/08; especificação congelada até 21/08; homologação conjunta</w:t>
            </w:r>
          </w:p>
        </w:tc>
      </w:tr>
      <w:tr>
        <w:tc>
          <w:tcPr>
            <w:tcW w:type="dxa" w:w="28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Split de pagamento não homologado a tempo</w:t>
            </w:r>
          </w:p>
        </w:tc>
        <w:tc>
          <w:tcPr>
            <w:tcW w:type="dxa" w:w="26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Cashback manual, risco de erro e retrabalho</w:t>
            </w:r>
          </w:p>
        </w:tc>
        <w:tc>
          <w:tcPr>
            <w:tcW w:type="dxa" w:w="39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Contratação do arranjo até 28/08; contingência: repasse mensal via prestação de contas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Atraso na assinatura do contrato com a ABM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Trava jurídica do soft opening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Negociação em paralelo à estruturação; minuta enviada até 17/08</w:t>
            </w:r>
          </w:p>
        </w:tc>
      </w:tr>
      <w:tr>
        <w:tc>
          <w:tcPr>
            <w:tcW w:type="dxa" w:w="28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Tratamento inadequado de dados dos associados (LGPD)</w:t>
            </w:r>
          </w:p>
        </w:tc>
        <w:tc>
          <w:tcPr>
            <w:tcW w:type="dxa" w:w="26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Responsabilização legal e reputacional</w:t>
            </w:r>
          </w:p>
        </w:tc>
        <w:tc>
          <w:tcPr>
            <w:tcW w:type="dxa" w:w="39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DPA específico, consentimento dos médicos e trilha de auditoria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Baixa adesão dos médicos no lançamento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Volume abaixo do projetado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Campanha co-branded em ondas, engajamento do DC e depoimentos do soft opening</w:t>
            </w:r>
          </w:p>
        </w:tc>
      </w:tr>
      <w:tr>
        <w:tc>
          <w:tcPr>
            <w:tcW w:type="dxa" w:w="28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Funding insuficiente para a demanda</w:t>
            </w:r>
          </w:p>
        </w:tc>
        <w:tc>
          <w:tcPr>
            <w:tcW w:type="dxa" w:w="26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Fila de operações e frustração do canal</w:t>
            </w:r>
          </w:p>
        </w:tc>
        <w:tc>
          <w:tcPr>
            <w:tcW w:type="dxa" w:w="39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Dimensionamento na Fase 2 com cenários; gatilhos de captação adicional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Glosa/inadimplência dos devedores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Perda financeira na carteira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Política de crédito específica, notificação de devedores, registro de cessão e trava de liquidação</w:t>
            </w:r>
          </w:p>
        </w:tc>
      </w:tr>
      <w:tr>
        <w:tc>
          <w:tcPr>
            <w:tcW w:type="dxa" w:w="28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Dependência de pessoas-chave no Depto. de Convênios</w:t>
            </w:r>
          </w:p>
        </w:tc>
        <w:tc>
          <w:tcPr>
            <w:tcW w:type="dxa" w:w="26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Descontinuidade operacional</w:t>
            </w:r>
          </w:p>
        </w:tc>
        <w:tc>
          <w:tcPr>
            <w:tcW w:type="dxa" w:w="39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Treinamento de mais de um operador e material de consulta permanente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Sobrecarga do suporte no lançamento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Má experiência dos primeiros usuários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Suporte N1/N2 estruturado até 11/09, base de conhecimento e plantão reforçado no soft opening e nas 2 primeiras semanas</w:t>
            </w:r>
          </w:p>
        </w:tc>
      </w:tr>
      <w:tr>
        <w:tc>
          <w:tcPr>
            <w:tcW w:type="dxa" w:w="286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Erro de atribuição de parceiro (PJ ABM não reconhecida ou comissão indevida)</w:t>
            </w:r>
          </w:p>
        </w:tc>
        <w:tc>
          <w:tcPr>
            <w:tcW w:type="dxa" w:w="26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Cashback errado, atrito com parceiros</w:t>
            </w:r>
          </w:p>
        </w:tc>
        <w:tc>
          <w:tcPr>
            <w:tcW w:type="dxa" w:w="3900"/>
            <w:shd w:fill="EF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sz w:val="22"/>
                <w:szCs w:val="22"/>
              </w:rPr>
              <w:t xml:space="preserve">Validação do vínculo contra a base do DC, trilha de auditoria por operação e conferência na prestação de contas</w:t>
            </w:r>
          </w:p>
        </w:tc>
      </w:tr>
    </w:tbl>
    <w:p>
      <w:pPr>
        <w:pStyle w:val="Heading1"/>
        <w:pBdr>
          <w:bottom w:val="single" w:color="00A3E4" w:sz="12" w:space="4"/>
        </w:pBdr>
        <w:spacing w:after="160" w:before="320" w:line="360"/>
      </w:pPr>
      <w:r>
        <w:rPr>
          <w:rFonts w:ascii="Poppins" w:cs="Poppins" w:eastAsia="Poppins" w:hAnsi="Poppins"/>
          <w:b/>
          <w:bCs/>
          <w:color w:val="0F2137"/>
          <w:sz w:val="28"/>
          <w:szCs w:val="28"/>
        </w:rPr>
        <w:t xml:space="preserve">7. Próximos Passos Imediatos (semana de 05/08)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Rodrigo Firpo, gestor do projeto, convoca o kickoff interno da Fynvex (até 07/08);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Agendar o kickoff conjunto com a diretoria da ABM e o Departamento de Convênios e o kickoff técnico com a plataforma do DC e o provedor de boletos (semana de 10/08);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Iniciar a minuta do contrato de parceria e do acordo de tratamento de dados (LGPD), para envio à ABM até 17/08;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Congelar o escopo do MVP do aplicativo das PJs e mobilizar o time de desenvolvimento;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Iniciar a produção do site institucional e a ativação dos perfis de LinkedIn e Instagram;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Mobilizar a frente de marketing para o plano de campanha (início em 17/08);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Poppins" w:cs="Poppins" w:eastAsia="Poppins" w:hAnsi="Poppins"/>
          <w:sz w:val="22"/>
          <w:szCs w:val="22"/>
        </w:rPr>
        <w:t xml:space="preserve">Solicitar à ABM o panorama da carteira do DC: quantidade de PJs geridas, principais devedores (hospitais/operadoras) e volume estimado de recebíveis.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8ba208428db1924006390bc25caaaf1f561e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2026-08-05T13:06:08.185Z</dcterms:created>
  <dcterms:modified xsi:type="dcterms:W3CDTF">2026-08-05T13:06:08.187Z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