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5BB18" w14:textId="5E661E58" w:rsidR="006C2151" w:rsidRPr="008C1367" w:rsidRDefault="00EF79E6" w:rsidP="004C0FAB">
      <w:pPr>
        <w:pStyle w:val="FirstParagraph"/>
        <w:spacing w:before="0" w:after="0"/>
        <w:jc w:val="center"/>
        <w:rPr>
          <w:rFonts w:ascii="Times New Roman" w:hAnsi="Times New Roman" w:cs="Times New Roman"/>
          <w:b/>
          <w:sz w:val="22"/>
          <w:szCs w:val="22"/>
        </w:rPr>
      </w:pPr>
      <w:r>
        <w:rPr>
          <w:rFonts w:ascii="Times New Roman" w:hAnsi="Times New Roman" w:cs="Times New Roman"/>
          <w:b/>
          <w:sz w:val="22"/>
          <w:szCs w:val="22"/>
        </w:rPr>
        <w:t xml:space="preserve">EvidenceStream:  </w:t>
      </w:r>
      <w:r w:rsidR="00E9707D" w:rsidRPr="008C1367">
        <w:rPr>
          <w:rFonts w:ascii="Times New Roman" w:hAnsi="Times New Roman" w:cs="Times New Roman"/>
          <w:b/>
          <w:sz w:val="22"/>
          <w:szCs w:val="22"/>
        </w:rPr>
        <w:t xml:space="preserve">Streaming Evidence Identification and </w:t>
      </w:r>
      <w:r>
        <w:rPr>
          <w:rFonts w:ascii="Times New Roman" w:hAnsi="Times New Roman" w:cs="Times New Roman"/>
          <w:b/>
          <w:sz w:val="22"/>
          <w:szCs w:val="22"/>
        </w:rPr>
        <w:t>Accumulation for Game- and Simulation-based Assessment</w:t>
      </w:r>
    </w:p>
    <w:p w14:paraId="49651420" w14:textId="77777777" w:rsidR="008C1367" w:rsidRDefault="008C1367" w:rsidP="004C0FAB">
      <w:pPr>
        <w:pStyle w:val="BodyText"/>
        <w:spacing w:before="0" w:after="0"/>
        <w:rPr>
          <w:rFonts w:ascii="Times New Roman" w:hAnsi="Times New Roman" w:cs="Times New Roman"/>
          <w:b/>
          <w:sz w:val="22"/>
          <w:szCs w:val="22"/>
        </w:rPr>
      </w:pPr>
      <w:r>
        <w:rPr>
          <w:rFonts w:ascii="Times New Roman" w:hAnsi="Times New Roman" w:cs="Times New Roman"/>
          <w:b/>
          <w:sz w:val="22"/>
          <w:szCs w:val="22"/>
        </w:rPr>
        <w:t>Overview</w:t>
      </w:r>
    </w:p>
    <w:p w14:paraId="7065BB1A" w14:textId="55353382" w:rsidR="006C2151" w:rsidRPr="00AD6D78" w:rsidRDefault="00E9707D" w:rsidP="004C0FAB">
      <w:pPr>
        <w:pStyle w:val="BodyText"/>
        <w:spacing w:before="0" w:after="0"/>
        <w:ind w:firstLine="720"/>
        <w:rPr>
          <w:rFonts w:ascii="Times New Roman" w:hAnsi="Times New Roman" w:cs="Times New Roman"/>
          <w:b/>
          <w:sz w:val="22"/>
          <w:szCs w:val="22"/>
        </w:rPr>
      </w:pPr>
      <w:r w:rsidRPr="008C1367">
        <w:rPr>
          <w:rFonts w:ascii="Times New Roman" w:hAnsi="Times New Roman" w:cs="Times New Roman"/>
          <w:sz w:val="22"/>
          <w:szCs w:val="22"/>
        </w:rPr>
        <w:t xml:space="preserve">Game- and simulation-based assessments (including instructional systems with embedded assessments) are opening up new educational opportunities, especially in </w:t>
      </w:r>
      <w:r w:rsidR="00EF79E6">
        <w:rPr>
          <w:rFonts w:ascii="Times New Roman" w:hAnsi="Times New Roman" w:cs="Times New Roman"/>
          <w:sz w:val="22"/>
          <w:szCs w:val="22"/>
        </w:rPr>
        <w:t>STEM fields.</w:t>
      </w:r>
      <w:r w:rsidR="00166C86">
        <w:rPr>
          <w:rFonts w:ascii="Times New Roman" w:hAnsi="Times New Roman" w:cs="Times New Roman"/>
          <w:sz w:val="22"/>
          <w:szCs w:val="22"/>
        </w:rPr>
        <w:t xml:space="preserve"> </w:t>
      </w:r>
      <w:r w:rsidRPr="008C1367">
        <w:rPr>
          <w:rFonts w:ascii="Times New Roman" w:hAnsi="Times New Roman" w:cs="Times New Roman"/>
          <w:sz w:val="22"/>
          <w:szCs w:val="22"/>
        </w:rPr>
        <w:t xml:space="preserve">However, these systems can log tens of thousands of events </w:t>
      </w:r>
      <w:r w:rsidR="00222CA7">
        <w:rPr>
          <w:rFonts w:ascii="Times New Roman" w:hAnsi="Times New Roman" w:cs="Times New Roman"/>
          <w:sz w:val="22"/>
          <w:szCs w:val="22"/>
        </w:rPr>
        <w:t xml:space="preserve">(user actions) </w:t>
      </w:r>
      <w:r w:rsidRPr="008C1367">
        <w:rPr>
          <w:rFonts w:ascii="Times New Roman" w:hAnsi="Times New Roman" w:cs="Times New Roman"/>
          <w:sz w:val="22"/>
          <w:szCs w:val="22"/>
        </w:rPr>
        <w:t xml:space="preserve">per user, and users typically interact with the systems across days or weeks of time. Evidence-centered design (ECD) </w:t>
      </w:r>
      <w:r w:rsidR="00222CA7">
        <w:rPr>
          <w:rFonts w:ascii="Times New Roman" w:hAnsi="Times New Roman" w:cs="Times New Roman"/>
          <w:sz w:val="22"/>
          <w:szCs w:val="22"/>
        </w:rPr>
        <w:t xml:space="preserve">has proved successful in defining which events provide evidence of the STEM competencies educators wish to </w:t>
      </w:r>
      <w:r w:rsidR="00AD6D78">
        <w:rPr>
          <w:rFonts w:ascii="Times New Roman" w:hAnsi="Times New Roman" w:cs="Times New Roman"/>
          <w:sz w:val="22"/>
          <w:szCs w:val="22"/>
        </w:rPr>
        <w:t xml:space="preserve">assess in prior NSF-supported research, such as the game </w:t>
      </w:r>
      <w:r w:rsidR="00AD6D78">
        <w:rPr>
          <w:rFonts w:ascii="Times New Roman" w:hAnsi="Times New Roman" w:cs="Times New Roman"/>
          <w:i/>
          <w:iCs/>
          <w:sz w:val="22"/>
          <w:szCs w:val="22"/>
        </w:rPr>
        <w:t>Physics Playground</w:t>
      </w:r>
      <w:r w:rsidRPr="008C1367">
        <w:rPr>
          <w:rFonts w:ascii="Times New Roman" w:hAnsi="Times New Roman" w:cs="Times New Roman"/>
          <w:sz w:val="22"/>
          <w:szCs w:val="22"/>
        </w:rPr>
        <w:t xml:space="preserve">. </w:t>
      </w:r>
      <w:r w:rsidR="00AD6D78">
        <w:rPr>
          <w:rFonts w:ascii="Times New Roman" w:hAnsi="Times New Roman" w:cs="Times New Roman"/>
          <w:sz w:val="22"/>
          <w:szCs w:val="22"/>
        </w:rPr>
        <w:t>Building scalable learning tools require</w:t>
      </w:r>
      <w:r w:rsidR="00166C86">
        <w:rPr>
          <w:rFonts w:ascii="Times New Roman" w:hAnsi="Times New Roman" w:cs="Times New Roman"/>
          <w:sz w:val="22"/>
          <w:szCs w:val="22"/>
        </w:rPr>
        <w:t>s</w:t>
      </w:r>
      <w:r w:rsidR="00AD6D78">
        <w:rPr>
          <w:rFonts w:ascii="Times New Roman" w:hAnsi="Times New Roman" w:cs="Times New Roman"/>
          <w:sz w:val="22"/>
          <w:szCs w:val="22"/>
        </w:rPr>
        <w:t xml:space="preserve"> a software framework for streaming analysis of the potentially millions of events into inferences about a handful of competencies. The proposed </w:t>
      </w:r>
      <w:r w:rsidR="00AD6D78">
        <w:rPr>
          <w:rFonts w:ascii="Times New Roman" w:hAnsi="Times New Roman" w:cs="Times New Roman"/>
          <w:i/>
          <w:iCs/>
          <w:sz w:val="22"/>
          <w:szCs w:val="22"/>
        </w:rPr>
        <w:t>EvidenceStream</w:t>
      </w:r>
      <w:r w:rsidR="00AD6D78">
        <w:rPr>
          <w:rFonts w:ascii="Times New Roman" w:hAnsi="Times New Roman" w:cs="Times New Roman"/>
          <w:sz w:val="22"/>
          <w:szCs w:val="22"/>
        </w:rPr>
        <w:t xml:space="preserve"> is such a framework, along with tools for helping developers translate pedagogical knowledge about the competencies into scoring algorithms.</w:t>
      </w:r>
    </w:p>
    <w:p w14:paraId="4382674E" w14:textId="3362E53D" w:rsidR="008C1367" w:rsidRDefault="008C1367" w:rsidP="004C0FAB">
      <w:pPr>
        <w:pStyle w:val="Heading1"/>
        <w:spacing w:before="0"/>
        <w:rPr>
          <w:rFonts w:ascii="Times New Roman" w:hAnsi="Times New Roman" w:cs="Times New Roman"/>
          <w:color w:val="auto"/>
          <w:sz w:val="22"/>
          <w:szCs w:val="22"/>
        </w:rPr>
      </w:pPr>
      <w:bookmarkStart w:id="0" w:name="intellectual-merit"/>
      <w:r w:rsidRPr="008C1367">
        <w:rPr>
          <w:rFonts w:ascii="Times New Roman" w:hAnsi="Times New Roman" w:cs="Times New Roman"/>
          <w:color w:val="auto"/>
          <w:sz w:val="22"/>
          <w:szCs w:val="22"/>
        </w:rPr>
        <w:t>Intellectual Merit</w:t>
      </w:r>
      <w:bookmarkEnd w:id="0"/>
    </w:p>
    <w:p w14:paraId="7065BB1B" w14:textId="60538FF3" w:rsidR="006C2151" w:rsidRPr="00B35851" w:rsidRDefault="00E9707D" w:rsidP="004C0FAB">
      <w:pPr>
        <w:pStyle w:val="Heading1"/>
        <w:spacing w:before="0"/>
        <w:ind w:firstLine="720"/>
        <w:rPr>
          <w:rFonts w:ascii="Times New Roman" w:hAnsi="Times New Roman" w:cs="Times New Roman"/>
          <w:b w:val="0"/>
          <w:color w:val="auto"/>
          <w:sz w:val="22"/>
          <w:szCs w:val="22"/>
        </w:rPr>
      </w:pPr>
      <w:r w:rsidRPr="00B35851">
        <w:rPr>
          <w:rFonts w:ascii="Times New Roman" w:hAnsi="Times New Roman" w:cs="Times New Roman"/>
          <w:b w:val="0"/>
          <w:color w:val="auto"/>
          <w:sz w:val="22"/>
          <w:szCs w:val="22"/>
        </w:rPr>
        <w:t xml:space="preserve">In ECD, </w:t>
      </w:r>
      <w:r w:rsidR="00B1098E" w:rsidRPr="00B35851">
        <w:rPr>
          <w:rFonts w:ascii="Times New Roman" w:hAnsi="Times New Roman" w:cs="Times New Roman"/>
          <w:b w:val="0"/>
          <w:color w:val="auto"/>
          <w:sz w:val="22"/>
          <w:szCs w:val="22"/>
        </w:rPr>
        <w:t>steps in the</w:t>
      </w:r>
      <w:r w:rsidRPr="00B35851">
        <w:rPr>
          <w:rFonts w:ascii="Times New Roman" w:hAnsi="Times New Roman" w:cs="Times New Roman"/>
          <w:b w:val="0"/>
          <w:color w:val="auto"/>
          <w:sz w:val="22"/>
          <w:szCs w:val="22"/>
        </w:rPr>
        <w:t xml:space="preserve"> scoring process are called </w:t>
      </w:r>
      <w:r w:rsidRPr="00B35851">
        <w:rPr>
          <w:rFonts w:ascii="Times New Roman" w:hAnsi="Times New Roman" w:cs="Times New Roman"/>
          <w:b w:val="0"/>
          <w:i/>
          <w:color w:val="auto"/>
          <w:sz w:val="22"/>
          <w:szCs w:val="22"/>
        </w:rPr>
        <w:t>evidence identification</w:t>
      </w:r>
      <w:r w:rsidRPr="00B35851">
        <w:rPr>
          <w:rFonts w:ascii="Times New Roman" w:hAnsi="Times New Roman" w:cs="Times New Roman"/>
          <w:b w:val="0"/>
          <w:color w:val="auto"/>
          <w:sz w:val="22"/>
          <w:szCs w:val="22"/>
        </w:rPr>
        <w:t xml:space="preserve"> and </w:t>
      </w:r>
      <w:r w:rsidRPr="00B35851">
        <w:rPr>
          <w:rFonts w:ascii="Times New Roman" w:hAnsi="Times New Roman" w:cs="Times New Roman"/>
          <w:b w:val="0"/>
          <w:i/>
          <w:color w:val="auto"/>
          <w:sz w:val="22"/>
          <w:szCs w:val="22"/>
        </w:rPr>
        <w:t>accumulation</w:t>
      </w:r>
      <w:r w:rsidRPr="00B35851">
        <w:rPr>
          <w:rFonts w:ascii="Times New Roman" w:hAnsi="Times New Roman" w:cs="Times New Roman"/>
          <w:b w:val="0"/>
          <w:color w:val="auto"/>
          <w:sz w:val="22"/>
          <w:szCs w:val="22"/>
        </w:rPr>
        <w:t xml:space="preserve">. Evidence identification determines the values of key observable variables within a </w:t>
      </w:r>
      <w:r w:rsidRPr="00B35851">
        <w:rPr>
          <w:rFonts w:ascii="Times New Roman" w:hAnsi="Times New Roman" w:cs="Times New Roman"/>
          <w:b w:val="0"/>
          <w:i/>
          <w:color w:val="auto"/>
          <w:sz w:val="22"/>
          <w:szCs w:val="22"/>
        </w:rPr>
        <w:t>scoring window</w:t>
      </w:r>
      <w:r w:rsidRPr="00B35851">
        <w:rPr>
          <w:rFonts w:ascii="Times New Roman" w:hAnsi="Times New Roman" w:cs="Times New Roman"/>
          <w:b w:val="0"/>
          <w:color w:val="auto"/>
          <w:sz w:val="22"/>
          <w:szCs w:val="22"/>
        </w:rPr>
        <w:t xml:space="preserve"> (a game level or a single task in a simulator)</w:t>
      </w:r>
      <w:r w:rsidR="00EF79E6">
        <w:rPr>
          <w:rFonts w:ascii="Times New Roman" w:hAnsi="Times New Roman" w:cs="Times New Roman"/>
          <w:b w:val="0"/>
          <w:color w:val="auto"/>
          <w:sz w:val="22"/>
          <w:szCs w:val="22"/>
        </w:rPr>
        <w:t>.</w:t>
      </w:r>
      <w:r w:rsidRPr="00B35851">
        <w:rPr>
          <w:rFonts w:ascii="Times New Roman" w:hAnsi="Times New Roman" w:cs="Times New Roman"/>
          <w:b w:val="0"/>
          <w:color w:val="auto"/>
          <w:sz w:val="22"/>
          <w:szCs w:val="22"/>
        </w:rPr>
        <w:t xml:space="preserve"> </w:t>
      </w:r>
      <w:r w:rsidR="00B1098E" w:rsidRPr="00B35851">
        <w:rPr>
          <w:rFonts w:ascii="Times New Roman" w:hAnsi="Times New Roman" w:cs="Times New Roman"/>
          <w:b w:val="0"/>
          <w:color w:val="auto"/>
          <w:sz w:val="22"/>
          <w:szCs w:val="22"/>
        </w:rPr>
        <w:t>Ev</w:t>
      </w:r>
      <w:r w:rsidRPr="00B35851">
        <w:rPr>
          <w:rFonts w:ascii="Times New Roman" w:hAnsi="Times New Roman" w:cs="Times New Roman"/>
          <w:b w:val="0"/>
          <w:color w:val="auto"/>
          <w:sz w:val="22"/>
          <w:szCs w:val="22"/>
        </w:rPr>
        <w:t xml:space="preserve">idence accumulation summarizes across scoring windows to update beliefs about the competencies. </w:t>
      </w:r>
      <w:r w:rsidR="00B1098E" w:rsidRPr="00B35851">
        <w:rPr>
          <w:rFonts w:ascii="Times New Roman" w:hAnsi="Times New Roman" w:cs="Times New Roman"/>
          <w:b w:val="0"/>
          <w:color w:val="auto"/>
          <w:sz w:val="22"/>
          <w:szCs w:val="22"/>
        </w:rPr>
        <w:t xml:space="preserve">The ECD </w:t>
      </w:r>
      <w:r w:rsidRPr="00B35851">
        <w:rPr>
          <w:rFonts w:ascii="Times New Roman" w:hAnsi="Times New Roman" w:cs="Times New Roman"/>
          <w:b w:val="0"/>
          <w:color w:val="auto"/>
          <w:sz w:val="22"/>
          <w:szCs w:val="22"/>
        </w:rPr>
        <w:t xml:space="preserve">framework has been used in a number of existing assessment systems, including the NSF-sponsored game </w:t>
      </w:r>
      <w:r w:rsidRPr="00B35851">
        <w:rPr>
          <w:rFonts w:ascii="Times New Roman" w:hAnsi="Times New Roman" w:cs="Times New Roman"/>
          <w:b w:val="0"/>
          <w:i/>
          <w:color w:val="auto"/>
          <w:sz w:val="22"/>
          <w:szCs w:val="22"/>
        </w:rPr>
        <w:t>Physics Playground</w:t>
      </w:r>
      <w:r w:rsidRPr="00B35851">
        <w:rPr>
          <w:rFonts w:ascii="Times New Roman" w:hAnsi="Times New Roman" w:cs="Times New Roman"/>
          <w:b w:val="0"/>
          <w:color w:val="auto"/>
          <w:sz w:val="22"/>
          <w:szCs w:val="22"/>
        </w:rPr>
        <w:t xml:space="preserve">. The prototype implementation used in </w:t>
      </w:r>
      <w:r w:rsidRPr="00B35851">
        <w:rPr>
          <w:rFonts w:ascii="Times New Roman" w:hAnsi="Times New Roman" w:cs="Times New Roman"/>
          <w:b w:val="0"/>
          <w:i/>
          <w:color w:val="auto"/>
          <w:sz w:val="22"/>
          <w:szCs w:val="22"/>
        </w:rPr>
        <w:t>Physics Playground</w:t>
      </w:r>
      <w:r w:rsidRPr="00B35851">
        <w:rPr>
          <w:rFonts w:ascii="Times New Roman" w:hAnsi="Times New Roman" w:cs="Times New Roman"/>
          <w:b w:val="0"/>
          <w:color w:val="auto"/>
          <w:sz w:val="22"/>
          <w:szCs w:val="22"/>
        </w:rPr>
        <w:t xml:space="preserve"> uncovered two major issues: </w:t>
      </w:r>
      <w:r w:rsidR="00B1098E" w:rsidRPr="00B35851">
        <w:rPr>
          <w:rFonts w:ascii="Times New Roman" w:hAnsi="Times New Roman" w:cs="Times New Roman"/>
          <w:b w:val="0"/>
          <w:color w:val="auto"/>
          <w:sz w:val="22"/>
          <w:szCs w:val="22"/>
        </w:rPr>
        <w:t>1)</w:t>
      </w:r>
      <w:r w:rsidR="00EF79E6">
        <w:rPr>
          <w:rFonts w:ascii="Times New Roman" w:hAnsi="Times New Roman" w:cs="Times New Roman"/>
          <w:b w:val="0"/>
          <w:color w:val="auto"/>
          <w:sz w:val="22"/>
          <w:szCs w:val="22"/>
        </w:rPr>
        <w:t> </w:t>
      </w:r>
      <w:r w:rsidRPr="00B35851">
        <w:rPr>
          <w:rFonts w:ascii="Times New Roman" w:hAnsi="Times New Roman" w:cs="Times New Roman"/>
          <w:b w:val="0"/>
          <w:color w:val="auto"/>
          <w:sz w:val="22"/>
          <w:szCs w:val="22"/>
        </w:rPr>
        <w:t>evidence identification and accumulation need</w:t>
      </w:r>
      <w:r w:rsidR="004C15B9" w:rsidRPr="00B35851">
        <w:rPr>
          <w:rFonts w:ascii="Times New Roman" w:hAnsi="Times New Roman" w:cs="Times New Roman"/>
          <w:b w:val="0"/>
          <w:color w:val="auto"/>
          <w:sz w:val="22"/>
          <w:szCs w:val="22"/>
        </w:rPr>
        <w:t>s</w:t>
      </w:r>
      <w:r w:rsidRPr="00B35851">
        <w:rPr>
          <w:rFonts w:ascii="Times New Roman" w:hAnsi="Times New Roman" w:cs="Times New Roman"/>
          <w:b w:val="0"/>
          <w:color w:val="auto"/>
          <w:sz w:val="22"/>
          <w:szCs w:val="22"/>
        </w:rPr>
        <w:t xml:space="preserve"> to be more efficient, taking advantage of parallel processing</w:t>
      </w:r>
      <w:r w:rsidR="00B1098E" w:rsidRPr="00B35851">
        <w:rPr>
          <w:rFonts w:ascii="Times New Roman" w:hAnsi="Times New Roman" w:cs="Times New Roman"/>
          <w:b w:val="0"/>
          <w:color w:val="auto"/>
          <w:sz w:val="22"/>
          <w:szCs w:val="22"/>
        </w:rPr>
        <w:t>;</w:t>
      </w:r>
      <w:r w:rsidRPr="00B35851">
        <w:rPr>
          <w:rFonts w:ascii="Times New Roman" w:hAnsi="Times New Roman" w:cs="Times New Roman"/>
          <w:b w:val="0"/>
          <w:color w:val="auto"/>
          <w:sz w:val="22"/>
          <w:szCs w:val="22"/>
        </w:rPr>
        <w:t xml:space="preserve"> and </w:t>
      </w:r>
      <w:r w:rsidR="00B1098E" w:rsidRPr="00B35851">
        <w:rPr>
          <w:rFonts w:ascii="Times New Roman" w:hAnsi="Times New Roman" w:cs="Times New Roman"/>
          <w:b w:val="0"/>
          <w:color w:val="auto"/>
          <w:sz w:val="22"/>
          <w:szCs w:val="22"/>
        </w:rPr>
        <w:t>2)</w:t>
      </w:r>
      <w:r w:rsidR="00EF79E6">
        <w:rPr>
          <w:rFonts w:ascii="Times New Roman" w:hAnsi="Times New Roman" w:cs="Times New Roman"/>
          <w:b w:val="0"/>
          <w:color w:val="auto"/>
          <w:sz w:val="22"/>
          <w:szCs w:val="22"/>
        </w:rPr>
        <w:t> </w:t>
      </w:r>
      <w:r w:rsidRPr="00B35851">
        <w:rPr>
          <w:rFonts w:ascii="Times New Roman" w:hAnsi="Times New Roman" w:cs="Times New Roman"/>
          <w:b w:val="0"/>
          <w:color w:val="auto"/>
          <w:sz w:val="22"/>
          <w:szCs w:val="22"/>
        </w:rPr>
        <w:t>better training is needed as the description and debugging of scoring models is a complex operation.</w:t>
      </w:r>
    </w:p>
    <w:p w14:paraId="7DFF0638" w14:textId="6C292E16" w:rsidR="008C1367" w:rsidRDefault="00E9707D" w:rsidP="004C0FAB">
      <w:pPr>
        <w:pStyle w:val="BodyText"/>
        <w:spacing w:before="0" w:after="0"/>
        <w:ind w:firstLine="720"/>
        <w:rPr>
          <w:rFonts w:ascii="Times New Roman" w:hAnsi="Times New Roman" w:cs="Times New Roman"/>
          <w:sz w:val="22"/>
          <w:szCs w:val="22"/>
        </w:rPr>
      </w:pPr>
      <w:r w:rsidRPr="00B35851">
        <w:rPr>
          <w:rFonts w:ascii="Times New Roman" w:hAnsi="Times New Roman" w:cs="Times New Roman"/>
          <w:sz w:val="22"/>
          <w:szCs w:val="22"/>
        </w:rPr>
        <w:t xml:space="preserve">The proposed research would build </w:t>
      </w:r>
      <w:r w:rsidR="00B1098E" w:rsidRPr="00B35851">
        <w:rPr>
          <w:rFonts w:ascii="Times New Roman" w:hAnsi="Times New Roman" w:cs="Times New Roman"/>
          <w:i/>
          <w:sz w:val="22"/>
          <w:szCs w:val="22"/>
        </w:rPr>
        <w:t>EvidenceStream</w:t>
      </w:r>
      <w:r w:rsidR="00B1098E" w:rsidRPr="00B35851">
        <w:rPr>
          <w:rFonts w:ascii="Times New Roman" w:hAnsi="Times New Roman" w:cs="Times New Roman"/>
          <w:sz w:val="22"/>
          <w:szCs w:val="22"/>
        </w:rPr>
        <w:t xml:space="preserve">, an </w:t>
      </w:r>
      <w:r w:rsidRPr="00B35851">
        <w:rPr>
          <w:rFonts w:ascii="Times New Roman" w:hAnsi="Times New Roman" w:cs="Times New Roman"/>
          <w:sz w:val="22"/>
          <w:szCs w:val="22"/>
        </w:rPr>
        <w:t>open-source scoring toolkit</w:t>
      </w:r>
      <w:r w:rsidR="00B1098E" w:rsidRPr="00B35851">
        <w:rPr>
          <w:rFonts w:ascii="Times New Roman" w:hAnsi="Times New Roman" w:cs="Times New Roman"/>
          <w:sz w:val="22"/>
          <w:szCs w:val="22"/>
        </w:rPr>
        <w:t xml:space="preserve"> </w:t>
      </w:r>
      <w:r w:rsidR="00EF79E6">
        <w:rPr>
          <w:rFonts w:ascii="Times New Roman" w:hAnsi="Times New Roman" w:cs="Times New Roman"/>
          <w:sz w:val="22"/>
          <w:szCs w:val="22"/>
        </w:rPr>
        <w:t>which will allow designers to build streaming scoring services for game- and simulation-based assessments</w:t>
      </w:r>
      <w:r w:rsidR="00B1098E" w:rsidRPr="00B35851">
        <w:rPr>
          <w:rFonts w:ascii="Times New Roman" w:hAnsi="Times New Roman" w:cs="Times New Roman"/>
          <w:sz w:val="22"/>
          <w:szCs w:val="22"/>
        </w:rPr>
        <w:t xml:space="preserve">. </w:t>
      </w:r>
      <w:r w:rsidR="00B1098E" w:rsidRPr="00B35851">
        <w:rPr>
          <w:rFonts w:ascii="Times New Roman" w:hAnsi="Times New Roman" w:cs="Times New Roman"/>
          <w:i/>
          <w:sz w:val="22"/>
          <w:szCs w:val="22"/>
        </w:rPr>
        <w:t>EvidenceStream</w:t>
      </w:r>
      <w:r w:rsidRPr="00B35851">
        <w:rPr>
          <w:rFonts w:ascii="Times New Roman" w:hAnsi="Times New Roman" w:cs="Times New Roman"/>
          <w:sz w:val="22"/>
          <w:szCs w:val="22"/>
        </w:rPr>
        <w:t xml:space="preserve"> </w:t>
      </w:r>
      <w:r w:rsidR="00B1098E" w:rsidRPr="00B35851">
        <w:rPr>
          <w:rFonts w:ascii="Times New Roman" w:hAnsi="Times New Roman" w:cs="Times New Roman"/>
          <w:sz w:val="22"/>
          <w:szCs w:val="22"/>
        </w:rPr>
        <w:t>is</w:t>
      </w:r>
      <w:r w:rsidRPr="00B35851">
        <w:rPr>
          <w:rFonts w:ascii="Times New Roman" w:hAnsi="Times New Roman" w:cs="Times New Roman"/>
          <w:sz w:val="22"/>
          <w:szCs w:val="22"/>
        </w:rPr>
        <w:t xml:space="preserve"> a redesign of the existing prototype </w:t>
      </w:r>
      <w:r w:rsidR="00EF79E6">
        <w:rPr>
          <w:rFonts w:ascii="Times New Roman" w:hAnsi="Times New Roman" w:cs="Times New Roman"/>
          <w:sz w:val="22"/>
          <w:szCs w:val="22"/>
        </w:rPr>
        <w:t xml:space="preserve">scoring </w:t>
      </w:r>
      <w:r w:rsidRPr="00B35851">
        <w:rPr>
          <w:rFonts w:ascii="Times New Roman" w:hAnsi="Times New Roman" w:cs="Times New Roman"/>
          <w:sz w:val="22"/>
          <w:szCs w:val="22"/>
        </w:rPr>
        <w:t>tools explicitly based on a streaming architecture</w:t>
      </w:r>
      <w:r w:rsidR="00B1098E" w:rsidRPr="00B35851">
        <w:rPr>
          <w:rFonts w:ascii="Times New Roman" w:hAnsi="Times New Roman" w:cs="Times New Roman"/>
          <w:sz w:val="22"/>
          <w:szCs w:val="22"/>
        </w:rPr>
        <w:t xml:space="preserve"> </w:t>
      </w:r>
      <w:r w:rsidR="00EF79E6">
        <w:rPr>
          <w:rFonts w:ascii="Times New Roman" w:hAnsi="Times New Roman" w:cs="Times New Roman"/>
          <w:sz w:val="22"/>
          <w:szCs w:val="22"/>
        </w:rPr>
        <w:t>with</w:t>
      </w:r>
      <w:r w:rsidRPr="00B35851">
        <w:rPr>
          <w:rFonts w:ascii="Times New Roman" w:hAnsi="Times New Roman" w:cs="Times New Roman"/>
          <w:sz w:val="22"/>
          <w:szCs w:val="22"/>
        </w:rPr>
        <w:t xml:space="preserve"> three stages</w:t>
      </w:r>
      <w:r w:rsidR="00B1098E" w:rsidRPr="00B35851">
        <w:rPr>
          <w:rFonts w:ascii="Times New Roman" w:hAnsi="Times New Roman" w:cs="Times New Roman"/>
          <w:sz w:val="22"/>
          <w:szCs w:val="22"/>
        </w:rPr>
        <w:t>,</w:t>
      </w:r>
      <w:r w:rsidRPr="00B35851">
        <w:rPr>
          <w:rFonts w:ascii="Times New Roman" w:hAnsi="Times New Roman" w:cs="Times New Roman"/>
          <w:sz w:val="22"/>
          <w:szCs w:val="22"/>
        </w:rPr>
        <w:t xml:space="preserve"> each of which refines the data: </w:t>
      </w:r>
      <w:r w:rsidRPr="00B35851">
        <w:rPr>
          <w:rFonts w:ascii="Times New Roman" w:hAnsi="Times New Roman" w:cs="Times New Roman"/>
          <w:i/>
          <w:sz w:val="22"/>
          <w:szCs w:val="22"/>
        </w:rPr>
        <w:t xml:space="preserve">evidence </w:t>
      </w:r>
      <w:r w:rsidR="00EF79E6">
        <w:rPr>
          <w:rFonts w:ascii="Times New Roman" w:hAnsi="Times New Roman" w:cs="Times New Roman"/>
          <w:i/>
          <w:sz w:val="22"/>
          <w:szCs w:val="22"/>
        </w:rPr>
        <w:t>preparation</w:t>
      </w:r>
      <w:r w:rsidRPr="00B35851">
        <w:rPr>
          <w:rFonts w:ascii="Times New Roman" w:hAnsi="Times New Roman" w:cs="Times New Roman"/>
          <w:sz w:val="22"/>
          <w:szCs w:val="22"/>
        </w:rPr>
        <w:t xml:space="preserve"> will filter unused events and add labels to key events, </w:t>
      </w:r>
      <w:r w:rsidRPr="00B35851">
        <w:rPr>
          <w:rFonts w:ascii="Times New Roman" w:hAnsi="Times New Roman" w:cs="Times New Roman"/>
          <w:i/>
          <w:sz w:val="22"/>
          <w:szCs w:val="22"/>
        </w:rPr>
        <w:t xml:space="preserve">evidence </w:t>
      </w:r>
      <w:r w:rsidR="00EF79E6">
        <w:rPr>
          <w:rFonts w:ascii="Times New Roman" w:hAnsi="Times New Roman" w:cs="Times New Roman"/>
          <w:i/>
          <w:sz w:val="22"/>
          <w:szCs w:val="22"/>
        </w:rPr>
        <w:t>identification</w:t>
      </w:r>
      <w:r w:rsidRPr="00B35851">
        <w:rPr>
          <w:rFonts w:ascii="Times New Roman" w:hAnsi="Times New Roman" w:cs="Times New Roman"/>
          <w:sz w:val="22"/>
          <w:szCs w:val="22"/>
        </w:rPr>
        <w:t xml:space="preserve"> will condense multiple events within a scoring window into key </w:t>
      </w:r>
      <w:r w:rsidRPr="00B35851">
        <w:rPr>
          <w:rFonts w:ascii="Times New Roman" w:hAnsi="Times New Roman" w:cs="Times New Roman"/>
          <w:i/>
          <w:sz w:val="22"/>
          <w:szCs w:val="22"/>
        </w:rPr>
        <w:t>observables</w:t>
      </w:r>
      <w:r w:rsidRPr="00B35851">
        <w:rPr>
          <w:rFonts w:ascii="Times New Roman" w:hAnsi="Times New Roman" w:cs="Times New Roman"/>
          <w:sz w:val="22"/>
          <w:szCs w:val="22"/>
        </w:rPr>
        <w:t xml:space="preserve">, and </w:t>
      </w:r>
      <w:r w:rsidRPr="00B35851">
        <w:rPr>
          <w:rFonts w:ascii="Times New Roman" w:hAnsi="Times New Roman" w:cs="Times New Roman"/>
          <w:i/>
          <w:sz w:val="22"/>
          <w:szCs w:val="22"/>
        </w:rPr>
        <w:t>evidence accumulation</w:t>
      </w:r>
      <w:r w:rsidRPr="00B35851">
        <w:rPr>
          <w:rFonts w:ascii="Times New Roman" w:hAnsi="Times New Roman" w:cs="Times New Roman"/>
          <w:sz w:val="22"/>
          <w:szCs w:val="22"/>
        </w:rPr>
        <w:t xml:space="preserve"> will use observables to update beliefs about competency variables. There is already a robust Bayesian network toolkit for the evidence accumulation. The evidence allocation would be based on a rule-based system designed for </w:t>
      </w:r>
      <w:r w:rsidRPr="00B35851">
        <w:rPr>
          <w:rFonts w:ascii="Times New Roman" w:hAnsi="Times New Roman" w:cs="Times New Roman"/>
          <w:i/>
          <w:sz w:val="22"/>
          <w:szCs w:val="22"/>
        </w:rPr>
        <w:t>Physics Playground</w:t>
      </w:r>
      <w:r w:rsidRPr="00B35851">
        <w:rPr>
          <w:rFonts w:ascii="Times New Roman" w:hAnsi="Times New Roman" w:cs="Times New Roman"/>
          <w:sz w:val="22"/>
          <w:szCs w:val="22"/>
        </w:rPr>
        <w:t>, but redesigned to both operate on parallel computing and be easier to code. There are a number of statistical and machine learning models that can be used to label events in the evidence classification stage.</w:t>
      </w:r>
      <w:r w:rsidR="004C15B9" w:rsidRPr="00B35851">
        <w:rPr>
          <w:rFonts w:ascii="Times New Roman" w:hAnsi="Times New Roman" w:cs="Times New Roman"/>
          <w:sz w:val="22"/>
          <w:szCs w:val="22"/>
        </w:rPr>
        <w:t xml:space="preserve"> In this manner,</w:t>
      </w:r>
      <w:r w:rsidR="0071507D" w:rsidRPr="00B35851">
        <w:rPr>
          <w:rFonts w:ascii="Times New Roman" w:hAnsi="Times New Roman" w:cs="Times New Roman"/>
          <w:sz w:val="22"/>
          <w:szCs w:val="22"/>
        </w:rPr>
        <w:t xml:space="preserve"> </w:t>
      </w:r>
      <w:r w:rsidR="0071507D" w:rsidRPr="00B35851">
        <w:rPr>
          <w:rFonts w:ascii="Times New Roman" w:hAnsi="Times New Roman" w:cs="Times New Roman"/>
          <w:i/>
          <w:sz w:val="22"/>
          <w:szCs w:val="22"/>
        </w:rPr>
        <w:t>EvidenceStream</w:t>
      </w:r>
      <w:r w:rsidR="0071507D" w:rsidRPr="00B35851">
        <w:rPr>
          <w:rFonts w:ascii="Times New Roman" w:hAnsi="Times New Roman" w:cs="Times New Roman"/>
          <w:sz w:val="22"/>
          <w:szCs w:val="22"/>
        </w:rPr>
        <w:t xml:space="preserve"> will provide educational researchers with an efficient tool for extrapolating viable data from game-based assessments when investigating questions of student competency in </w:t>
      </w:r>
      <w:r w:rsidR="004A5B46">
        <w:rPr>
          <w:rFonts w:ascii="Times New Roman" w:hAnsi="Times New Roman" w:cs="Times New Roman"/>
          <w:sz w:val="22"/>
          <w:szCs w:val="22"/>
        </w:rPr>
        <w:t>STEM fields</w:t>
      </w:r>
      <w:r w:rsidR="0071507D" w:rsidRPr="00B35851">
        <w:rPr>
          <w:rFonts w:ascii="Times New Roman" w:hAnsi="Times New Roman" w:cs="Times New Roman"/>
          <w:sz w:val="22"/>
          <w:szCs w:val="22"/>
        </w:rPr>
        <w:t>.</w:t>
      </w:r>
      <w:r w:rsidR="00B35851">
        <w:rPr>
          <w:rFonts w:ascii="Times New Roman" w:hAnsi="Times New Roman" w:cs="Times New Roman"/>
          <w:sz w:val="22"/>
          <w:szCs w:val="22"/>
        </w:rPr>
        <w:t xml:space="preserve"> </w:t>
      </w:r>
      <w:bookmarkStart w:id="1" w:name="broader-impacts"/>
    </w:p>
    <w:p w14:paraId="6597B259" w14:textId="496644DF" w:rsidR="008C1367" w:rsidRDefault="00E9707D" w:rsidP="004C0FAB">
      <w:pPr>
        <w:pStyle w:val="Heading1"/>
        <w:spacing w:before="0"/>
        <w:rPr>
          <w:rFonts w:ascii="Times New Roman" w:hAnsi="Times New Roman" w:cs="Times New Roman"/>
          <w:color w:val="auto"/>
          <w:sz w:val="22"/>
          <w:szCs w:val="22"/>
        </w:rPr>
      </w:pPr>
      <w:r w:rsidRPr="008C1367">
        <w:rPr>
          <w:rFonts w:ascii="Times New Roman" w:hAnsi="Times New Roman" w:cs="Times New Roman"/>
          <w:color w:val="auto"/>
          <w:sz w:val="22"/>
          <w:szCs w:val="22"/>
        </w:rPr>
        <w:t>Broader Impacts</w:t>
      </w:r>
      <w:bookmarkEnd w:id="1"/>
    </w:p>
    <w:p w14:paraId="539F3379" w14:textId="0C2113ED" w:rsidR="00301EE4" w:rsidRPr="004C0FAB" w:rsidRDefault="00E9707D" w:rsidP="004C0FAB">
      <w:pPr>
        <w:pStyle w:val="Heading1"/>
        <w:spacing w:before="0"/>
        <w:ind w:firstLine="720"/>
        <w:rPr>
          <w:rFonts w:ascii="Times New Roman" w:hAnsi="Times New Roman" w:cs="Times New Roman"/>
          <w:b w:val="0"/>
          <w:color w:val="auto"/>
          <w:sz w:val="22"/>
          <w:szCs w:val="22"/>
        </w:rPr>
      </w:pPr>
      <w:r w:rsidRPr="004C0FAB">
        <w:rPr>
          <w:rFonts w:ascii="Times New Roman" w:hAnsi="Times New Roman" w:cs="Times New Roman"/>
          <w:b w:val="0"/>
          <w:color w:val="auto"/>
          <w:sz w:val="22"/>
          <w:szCs w:val="22"/>
        </w:rPr>
        <w:t xml:space="preserve">Releasing </w:t>
      </w:r>
      <w:r w:rsidRPr="004C0FAB">
        <w:rPr>
          <w:rFonts w:ascii="Times New Roman" w:hAnsi="Times New Roman" w:cs="Times New Roman"/>
          <w:b w:val="0"/>
          <w:i/>
          <w:color w:val="auto"/>
          <w:sz w:val="22"/>
          <w:szCs w:val="22"/>
        </w:rPr>
        <w:t>EvidenceStream</w:t>
      </w:r>
      <w:r w:rsidRPr="004C0FAB">
        <w:rPr>
          <w:rFonts w:ascii="Times New Roman" w:hAnsi="Times New Roman" w:cs="Times New Roman"/>
          <w:b w:val="0"/>
          <w:color w:val="auto"/>
          <w:sz w:val="22"/>
          <w:szCs w:val="22"/>
        </w:rPr>
        <w:t xml:space="preserve"> as free open-source toolkit will facilitate the development of game and simulation-based assessment. In particular, the evidence identification (classification and allocation) stages have few available tools, yet play a vital role in data reduction. Projects that could immediately benefit from this include </w:t>
      </w:r>
      <w:r w:rsidRPr="004C0FAB">
        <w:rPr>
          <w:rFonts w:ascii="Times New Roman" w:hAnsi="Times New Roman" w:cs="Times New Roman"/>
          <w:b w:val="0"/>
          <w:i/>
          <w:color w:val="auto"/>
          <w:sz w:val="22"/>
          <w:szCs w:val="22"/>
        </w:rPr>
        <w:t>Physics Playground</w:t>
      </w:r>
      <w:r w:rsidRPr="004C0FAB">
        <w:rPr>
          <w:rFonts w:ascii="Times New Roman" w:hAnsi="Times New Roman" w:cs="Times New Roman"/>
          <w:b w:val="0"/>
          <w:color w:val="auto"/>
          <w:sz w:val="22"/>
          <w:szCs w:val="22"/>
        </w:rPr>
        <w:t xml:space="preserve"> </w:t>
      </w:r>
      <w:r w:rsidR="004E3DAA" w:rsidRPr="004C0FAB">
        <w:rPr>
          <w:rFonts w:ascii="Times New Roman" w:hAnsi="Times New Roman" w:cs="Times New Roman"/>
          <w:b w:val="0"/>
          <w:color w:val="auto"/>
          <w:sz w:val="22"/>
          <w:szCs w:val="22"/>
        </w:rPr>
        <w:t>(</w:t>
      </w:r>
      <w:r w:rsidR="00301EE4" w:rsidRPr="004C0FAB">
        <w:rPr>
          <w:rFonts w:ascii="Times New Roman" w:hAnsi="Times New Roman" w:cs="Times New Roman"/>
          <w:b w:val="0"/>
          <w:color w:val="auto"/>
          <w:sz w:val="22"/>
          <w:szCs w:val="22"/>
        </w:rPr>
        <w:t xml:space="preserve">Florida State University; </w:t>
      </w:r>
      <w:r w:rsidR="004E3DAA" w:rsidRPr="004C0FAB">
        <w:rPr>
          <w:rFonts w:ascii="Times New Roman" w:hAnsi="Times New Roman" w:cs="Times New Roman"/>
          <w:b w:val="0"/>
          <w:color w:val="auto"/>
          <w:sz w:val="22"/>
          <w:szCs w:val="22"/>
        </w:rPr>
        <w:t xml:space="preserve">Newtonian </w:t>
      </w:r>
      <w:r w:rsidR="00301EE4" w:rsidRPr="004C0FAB">
        <w:rPr>
          <w:rFonts w:ascii="Times New Roman" w:hAnsi="Times New Roman" w:cs="Times New Roman"/>
          <w:b w:val="0"/>
          <w:color w:val="auto"/>
          <w:sz w:val="22"/>
          <w:szCs w:val="22"/>
        </w:rPr>
        <w:t>p</w:t>
      </w:r>
      <w:r w:rsidR="004E3DAA" w:rsidRPr="004C0FAB">
        <w:rPr>
          <w:rFonts w:ascii="Times New Roman" w:hAnsi="Times New Roman" w:cs="Times New Roman"/>
          <w:b w:val="0"/>
          <w:color w:val="auto"/>
          <w:sz w:val="22"/>
          <w:szCs w:val="22"/>
        </w:rPr>
        <w:t>hysics</w:t>
      </w:r>
      <w:r w:rsidR="00301EE4" w:rsidRPr="004C0FAB">
        <w:rPr>
          <w:rFonts w:ascii="Times New Roman" w:hAnsi="Times New Roman" w:cs="Times New Roman"/>
          <w:b w:val="0"/>
          <w:color w:val="auto"/>
          <w:sz w:val="22"/>
          <w:szCs w:val="22"/>
        </w:rPr>
        <w:t xml:space="preserve">) </w:t>
      </w:r>
      <w:r w:rsidRPr="004C0FAB">
        <w:rPr>
          <w:rFonts w:ascii="Times New Roman" w:hAnsi="Times New Roman" w:cs="Times New Roman"/>
          <w:b w:val="0"/>
          <w:color w:val="auto"/>
          <w:sz w:val="22"/>
          <w:szCs w:val="22"/>
        </w:rPr>
        <w:t xml:space="preserve">and </w:t>
      </w:r>
      <w:r w:rsidRPr="004C0FAB">
        <w:rPr>
          <w:rFonts w:ascii="Times New Roman" w:hAnsi="Times New Roman" w:cs="Times New Roman"/>
          <w:b w:val="0"/>
          <w:i/>
          <w:color w:val="auto"/>
          <w:sz w:val="22"/>
          <w:szCs w:val="22"/>
        </w:rPr>
        <w:t>e-Rebuild</w:t>
      </w:r>
      <w:r w:rsidRPr="004C0FAB">
        <w:rPr>
          <w:rFonts w:ascii="Times New Roman" w:hAnsi="Times New Roman" w:cs="Times New Roman"/>
          <w:b w:val="0"/>
          <w:color w:val="auto"/>
          <w:sz w:val="22"/>
          <w:szCs w:val="22"/>
        </w:rPr>
        <w:t xml:space="preserve"> (Florida State University</w:t>
      </w:r>
      <w:r w:rsidR="00301EE4" w:rsidRPr="004C0FAB">
        <w:rPr>
          <w:rFonts w:ascii="Times New Roman" w:hAnsi="Times New Roman" w:cs="Times New Roman"/>
          <w:b w:val="0"/>
          <w:color w:val="auto"/>
          <w:sz w:val="22"/>
          <w:szCs w:val="22"/>
        </w:rPr>
        <w:t>; middle school math</w:t>
      </w:r>
      <w:r w:rsidRPr="004C0FAB">
        <w:rPr>
          <w:rFonts w:ascii="Times New Roman" w:hAnsi="Times New Roman" w:cs="Times New Roman"/>
          <w:b w:val="0"/>
          <w:color w:val="auto"/>
          <w:sz w:val="22"/>
          <w:szCs w:val="22"/>
        </w:rPr>
        <w:t xml:space="preserve">), </w:t>
      </w:r>
      <w:r w:rsidRPr="004C0FAB">
        <w:rPr>
          <w:rFonts w:ascii="Times New Roman" w:hAnsi="Times New Roman" w:cs="Times New Roman"/>
          <w:b w:val="0"/>
          <w:i/>
          <w:color w:val="auto"/>
          <w:sz w:val="22"/>
          <w:szCs w:val="22"/>
        </w:rPr>
        <w:t>Zoombinis</w:t>
      </w:r>
      <w:r w:rsidRPr="004C0FAB">
        <w:rPr>
          <w:rFonts w:ascii="Times New Roman" w:hAnsi="Times New Roman" w:cs="Times New Roman"/>
          <w:b w:val="0"/>
          <w:color w:val="auto"/>
          <w:sz w:val="22"/>
          <w:szCs w:val="22"/>
        </w:rPr>
        <w:t xml:space="preserve"> (TERC</w:t>
      </w:r>
      <w:r w:rsidR="00301EE4" w:rsidRPr="004C0FAB">
        <w:rPr>
          <w:rFonts w:ascii="Times New Roman" w:hAnsi="Times New Roman" w:cs="Times New Roman"/>
          <w:b w:val="0"/>
          <w:color w:val="auto"/>
          <w:sz w:val="22"/>
          <w:szCs w:val="22"/>
        </w:rPr>
        <w:t>; computational thinking</w:t>
      </w:r>
      <w:r w:rsidRPr="004C0FAB">
        <w:rPr>
          <w:rFonts w:ascii="Times New Roman" w:hAnsi="Times New Roman" w:cs="Times New Roman"/>
          <w:b w:val="0"/>
          <w:color w:val="auto"/>
          <w:sz w:val="22"/>
          <w:szCs w:val="22"/>
        </w:rPr>
        <w:t xml:space="preserve">) and </w:t>
      </w:r>
      <w:r w:rsidRPr="004C0FAB">
        <w:rPr>
          <w:rFonts w:ascii="Times New Roman" w:hAnsi="Times New Roman" w:cs="Times New Roman"/>
          <w:b w:val="0"/>
          <w:i/>
          <w:color w:val="auto"/>
          <w:sz w:val="22"/>
          <w:szCs w:val="22"/>
        </w:rPr>
        <w:t>SimScientist</w:t>
      </w:r>
      <w:r w:rsidRPr="004C0FAB">
        <w:rPr>
          <w:rFonts w:ascii="Times New Roman" w:hAnsi="Times New Roman" w:cs="Times New Roman"/>
          <w:b w:val="0"/>
          <w:color w:val="auto"/>
          <w:sz w:val="22"/>
          <w:szCs w:val="22"/>
        </w:rPr>
        <w:t xml:space="preserve"> (WestEd). However, the broader impact will come from the support of new assessments</w:t>
      </w:r>
      <w:r w:rsidR="00301EE4" w:rsidRPr="004C0FAB">
        <w:rPr>
          <w:rFonts w:ascii="Times New Roman" w:hAnsi="Times New Roman" w:cs="Times New Roman"/>
          <w:b w:val="0"/>
          <w:color w:val="auto"/>
          <w:sz w:val="22"/>
          <w:szCs w:val="22"/>
        </w:rPr>
        <w:t>, especially in STEM fields where the ability of students to interact with simulations is critical to learning science and engineering practices.</w:t>
      </w:r>
      <w:r w:rsidR="00166C86" w:rsidRPr="004C0FAB">
        <w:rPr>
          <w:rFonts w:ascii="Times New Roman" w:hAnsi="Times New Roman" w:cs="Times New Roman"/>
          <w:b w:val="0"/>
          <w:color w:val="auto"/>
          <w:sz w:val="22"/>
          <w:szCs w:val="22"/>
        </w:rPr>
        <w:t xml:space="preserve"> </w:t>
      </w:r>
      <w:r w:rsidR="00301EE4" w:rsidRPr="004C0FAB">
        <w:rPr>
          <w:rFonts w:ascii="Times New Roman" w:hAnsi="Times New Roman" w:cs="Times New Roman"/>
          <w:b w:val="0"/>
          <w:color w:val="auto"/>
          <w:sz w:val="22"/>
          <w:szCs w:val="22"/>
        </w:rPr>
        <w:t>The tools will be available researchers and developers in STEM and other educational fields through open-source</w:t>
      </w:r>
      <w:r w:rsidR="00904AF0">
        <w:rPr>
          <w:rFonts w:ascii="Times New Roman" w:hAnsi="Times New Roman" w:cs="Times New Roman"/>
          <w:b w:val="0"/>
          <w:color w:val="auto"/>
          <w:sz w:val="22"/>
          <w:szCs w:val="22"/>
        </w:rPr>
        <w:t>,</w:t>
      </w:r>
      <w:r w:rsidR="00301EE4" w:rsidRPr="004C0FAB">
        <w:rPr>
          <w:rFonts w:ascii="Times New Roman" w:hAnsi="Times New Roman" w:cs="Times New Roman"/>
          <w:b w:val="0"/>
          <w:color w:val="auto"/>
          <w:sz w:val="22"/>
          <w:szCs w:val="22"/>
        </w:rPr>
        <w:t xml:space="preserve"> royalty-free releases. To maximize the </w:t>
      </w:r>
      <w:r w:rsidRPr="004C0FAB">
        <w:rPr>
          <w:rFonts w:ascii="Times New Roman" w:hAnsi="Times New Roman" w:cs="Times New Roman"/>
          <w:b w:val="0"/>
          <w:color w:val="auto"/>
          <w:sz w:val="22"/>
          <w:szCs w:val="22"/>
        </w:rPr>
        <w:t>impact</w:t>
      </w:r>
      <w:r w:rsidR="00301EE4" w:rsidRPr="004C0FAB">
        <w:rPr>
          <w:rFonts w:ascii="Times New Roman" w:hAnsi="Times New Roman" w:cs="Times New Roman"/>
          <w:b w:val="0"/>
          <w:color w:val="auto"/>
          <w:sz w:val="22"/>
          <w:szCs w:val="22"/>
        </w:rPr>
        <w:t>, the project will develop</w:t>
      </w:r>
      <w:r w:rsidRPr="004C0FAB">
        <w:rPr>
          <w:rFonts w:ascii="Times New Roman" w:hAnsi="Times New Roman" w:cs="Times New Roman"/>
          <w:b w:val="0"/>
          <w:color w:val="auto"/>
          <w:sz w:val="22"/>
          <w:szCs w:val="22"/>
        </w:rPr>
        <w:t xml:space="preserve"> </w:t>
      </w:r>
      <w:r w:rsidR="00301EE4" w:rsidRPr="004C0FAB">
        <w:rPr>
          <w:rFonts w:ascii="Times New Roman" w:hAnsi="Times New Roman" w:cs="Times New Roman"/>
          <w:b w:val="0"/>
          <w:color w:val="auto"/>
          <w:sz w:val="22"/>
          <w:szCs w:val="22"/>
        </w:rPr>
        <w:t xml:space="preserve">free online </w:t>
      </w:r>
      <w:r w:rsidRPr="004C0FAB">
        <w:rPr>
          <w:rFonts w:ascii="Times New Roman" w:hAnsi="Times New Roman" w:cs="Times New Roman"/>
          <w:b w:val="0"/>
          <w:color w:val="auto"/>
          <w:sz w:val="22"/>
          <w:szCs w:val="22"/>
        </w:rPr>
        <w:t xml:space="preserve">training material </w:t>
      </w:r>
      <w:r w:rsidR="00301EE4" w:rsidRPr="004C0FAB">
        <w:rPr>
          <w:rFonts w:ascii="Times New Roman" w:hAnsi="Times New Roman" w:cs="Times New Roman"/>
          <w:b w:val="0"/>
          <w:color w:val="auto"/>
          <w:sz w:val="22"/>
          <w:szCs w:val="22"/>
        </w:rPr>
        <w:t>for</w:t>
      </w:r>
      <w:r w:rsidRPr="004C0FAB">
        <w:rPr>
          <w:rFonts w:ascii="Times New Roman" w:hAnsi="Times New Roman" w:cs="Times New Roman"/>
          <w:b w:val="0"/>
          <w:color w:val="auto"/>
          <w:sz w:val="22"/>
          <w:szCs w:val="22"/>
        </w:rPr>
        <w:t xml:space="preserve"> building scoring models. </w:t>
      </w:r>
      <w:bookmarkStart w:id="2" w:name="_GoBack"/>
      <w:bookmarkEnd w:id="2"/>
    </w:p>
    <w:p w14:paraId="7065BB20" w14:textId="6C0619C7" w:rsidR="006C2151" w:rsidRPr="004C0FAB" w:rsidRDefault="00E9707D" w:rsidP="004C0FAB">
      <w:pPr>
        <w:pStyle w:val="BodyText"/>
        <w:spacing w:before="0" w:after="0"/>
        <w:ind w:firstLine="720"/>
        <w:rPr>
          <w:rFonts w:ascii="Times New Roman" w:hAnsi="Times New Roman" w:cs="Times New Roman"/>
          <w:sz w:val="22"/>
          <w:szCs w:val="22"/>
        </w:rPr>
      </w:pPr>
      <w:r w:rsidRPr="004C0FAB">
        <w:rPr>
          <w:rFonts w:ascii="Times New Roman" w:hAnsi="Times New Roman" w:cs="Times New Roman"/>
          <w:sz w:val="22"/>
          <w:szCs w:val="22"/>
        </w:rPr>
        <w:lastRenderedPageBreak/>
        <w:t xml:space="preserve">The same architecture is applicable to types of data that are not generated by games and simulations. In particular, audio and video data also come in streams and can be scored through the same sequence of processes: </w:t>
      </w:r>
      <w:r w:rsidRPr="004C0FAB">
        <w:rPr>
          <w:rFonts w:ascii="Times New Roman" w:hAnsi="Times New Roman" w:cs="Times New Roman"/>
          <w:i/>
          <w:sz w:val="22"/>
          <w:szCs w:val="22"/>
        </w:rPr>
        <w:t xml:space="preserve">evidence </w:t>
      </w:r>
      <w:r w:rsidR="00166C86" w:rsidRPr="004C0FAB">
        <w:rPr>
          <w:rFonts w:ascii="Times New Roman" w:hAnsi="Times New Roman" w:cs="Times New Roman"/>
          <w:i/>
          <w:sz w:val="22"/>
          <w:szCs w:val="22"/>
        </w:rPr>
        <w:t>preparation</w:t>
      </w:r>
      <w:r w:rsidRPr="004C0FAB">
        <w:rPr>
          <w:rFonts w:ascii="Times New Roman" w:hAnsi="Times New Roman" w:cs="Times New Roman"/>
          <w:sz w:val="22"/>
          <w:szCs w:val="22"/>
        </w:rPr>
        <w:t xml:space="preserve">, </w:t>
      </w:r>
      <w:r w:rsidRPr="004C0FAB">
        <w:rPr>
          <w:rFonts w:ascii="Times New Roman" w:hAnsi="Times New Roman" w:cs="Times New Roman"/>
          <w:i/>
          <w:sz w:val="22"/>
          <w:szCs w:val="22"/>
        </w:rPr>
        <w:t xml:space="preserve">evidence </w:t>
      </w:r>
      <w:r w:rsidR="00301EE4" w:rsidRPr="004C0FAB">
        <w:rPr>
          <w:rFonts w:ascii="Times New Roman" w:hAnsi="Times New Roman" w:cs="Times New Roman"/>
          <w:i/>
          <w:sz w:val="22"/>
          <w:szCs w:val="22"/>
        </w:rPr>
        <w:t>identification</w:t>
      </w:r>
      <w:r w:rsidR="00645DE9" w:rsidRPr="004C0FAB">
        <w:rPr>
          <w:rFonts w:ascii="Times New Roman" w:hAnsi="Times New Roman" w:cs="Times New Roman"/>
          <w:sz w:val="22"/>
          <w:szCs w:val="22"/>
        </w:rPr>
        <w:t>,</w:t>
      </w:r>
      <w:r w:rsidRPr="004C0FAB">
        <w:rPr>
          <w:rFonts w:ascii="Times New Roman" w:hAnsi="Times New Roman" w:cs="Times New Roman"/>
          <w:sz w:val="22"/>
          <w:szCs w:val="22"/>
        </w:rPr>
        <w:t xml:space="preserve"> and </w:t>
      </w:r>
      <w:r w:rsidRPr="004C0FAB">
        <w:rPr>
          <w:rFonts w:ascii="Times New Roman" w:hAnsi="Times New Roman" w:cs="Times New Roman"/>
          <w:i/>
          <w:sz w:val="22"/>
          <w:szCs w:val="22"/>
        </w:rPr>
        <w:t>evidence accumulation</w:t>
      </w:r>
      <w:r w:rsidRPr="004C0FAB">
        <w:rPr>
          <w:rFonts w:ascii="Times New Roman" w:hAnsi="Times New Roman" w:cs="Times New Roman"/>
          <w:sz w:val="22"/>
          <w:szCs w:val="22"/>
        </w:rPr>
        <w:t>. In particular, the evidence allocation allows the systems to respond to sequences of events or events in contexts. This will be useful in a wide variety of educational and training contexts in STEM fields and beyond.</w:t>
      </w:r>
    </w:p>
    <w:sectPr w:rsidR="006C2151" w:rsidRPr="004C0FAB">
      <w:headerReference w:type="default" r:id="rId10"/>
      <w:pgSz w:w="12240" w:h="15840"/>
      <w:pgMar w:top="1440" w:right="1440" w:bottom="1440" w:left="144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329CD4" w16cid:durableId="21D1ADEC"/>
  <w16cid:commentId w16cid:paraId="494B4C00" w16cid:durableId="21D1ADEE"/>
  <w16cid:commentId w16cid:paraId="4C4AA654" w16cid:durableId="21D1ADE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36960" w14:textId="77777777" w:rsidR="005806BF" w:rsidRDefault="005806BF">
      <w:pPr>
        <w:spacing w:after="0"/>
      </w:pPr>
      <w:r>
        <w:separator/>
      </w:r>
    </w:p>
  </w:endnote>
  <w:endnote w:type="continuationSeparator" w:id="0">
    <w:p w14:paraId="3D75B0E5" w14:textId="77777777" w:rsidR="005806BF" w:rsidRDefault="005806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5DD71" w14:textId="77777777" w:rsidR="005806BF" w:rsidRDefault="005806BF">
      <w:r>
        <w:separator/>
      </w:r>
    </w:p>
  </w:footnote>
  <w:footnote w:type="continuationSeparator" w:id="0">
    <w:p w14:paraId="3E9F81E0" w14:textId="77777777" w:rsidR="005806BF" w:rsidRDefault="00580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29D5B" w14:textId="03CEE43F" w:rsidR="008C1367" w:rsidRPr="00EF79E6" w:rsidRDefault="008C1367" w:rsidP="008C1367">
    <w:pPr>
      <w:pStyle w:val="Header"/>
      <w:rPr>
        <w:rFonts w:ascii="Times New Roman" w:hAnsi="Times New Roman" w:cs="Times New Roman"/>
        <w:sz w:val="22"/>
        <w:szCs w:val="22"/>
      </w:rPr>
    </w:pPr>
    <w:r w:rsidRPr="00EF79E6">
      <w:rPr>
        <w:rFonts w:ascii="Times New Roman" w:hAnsi="Times New Roman" w:cs="Times New Roman"/>
        <w:sz w:val="22"/>
        <w:szCs w:val="22"/>
      </w:rPr>
      <w:t>Almond: NSF-MMS</w:t>
    </w:r>
    <w:r w:rsidRPr="00EF79E6">
      <w:rPr>
        <w:rFonts w:ascii="Times New Roman" w:hAnsi="Times New Roman" w:cs="Times New Roman"/>
        <w:sz w:val="22"/>
        <w:szCs w:val="22"/>
      </w:rPr>
      <w:tab/>
    </w:r>
    <w:r w:rsidRPr="00EF79E6">
      <w:rPr>
        <w:rFonts w:ascii="Times New Roman" w:hAnsi="Times New Roman" w:cs="Times New Roman"/>
        <w:sz w:val="22"/>
        <w:szCs w:val="22"/>
      </w:rPr>
      <w:tab/>
    </w:r>
    <w:sdt>
      <w:sdtPr>
        <w:rPr>
          <w:rFonts w:ascii="Times New Roman" w:hAnsi="Times New Roman" w:cs="Times New Roman"/>
          <w:sz w:val="22"/>
          <w:szCs w:val="22"/>
        </w:rPr>
        <w:id w:val="412979563"/>
        <w:docPartObj>
          <w:docPartGallery w:val="Page Numbers (Top of Page)"/>
          <w:docPartUnique/>
        </w:docPartObj>
      </w:sdtPr>
      <w:sdtEndPr>
        <w:rPr>
          <w:noProof/>
        </w:rPr>
      </w:sdtEndPr>
      <w:sdtContent>
        <w:r w:rsidRPr="00EF79E6">
          <w:rPr>
            <w:rFonts w:ascii="Times New Roman" w:hAnsi="Times New Roman" w:cs="Times New Roman"/>
            <w:sz w:val="22"/>
            <w:szCs w:val="22"/>
          </w:rPr>
          <w:fldChar w:fldCharType="begin"/>
        </w:r>
        <w:r w:rsidRPr="00EF79E6">
          <w:rPr>
            <w:rFonts w:ascii="Times New Roman" w:hAnsi="Times New Roman" w:cs="Times New Roman"/>
            <w:sz w:val="22"/>
            <w:szCs w:val="22"/>
          </w:rPr>
          <w:instrText xml:space="preserve"> PAGE   \* MERGEFORMAT </w:instrText>
        </w:r>
        <w:r w:rsidRPr="00EF79E6">
          <w:rPr>
            <w:rFonts w:ascii="Times New Roman" w:hAnsi="Times New Roman" w:cs="Times New Roman"/>
            <w:sz w:val="22"/>
            <w:szCs w:val="22"/>
          </w:rPr>
          <w:fldChar w:fldCharType="separate"/>
        </w:r>
        <w:r w:rsidR="004C0FAB">
          <w:rPr>
            <w:rFonts w:ascii="Times New Roman" w:hAnsi="Times New Roman" w:cs="Times New Roman"/>
            <w:noProof/>
            <w:sz w:val="22"/>
            <w:szCs w:val="22"/>
          </w:rPr>
          <w:t>1</w:t>
        </w:r>
        <w:r w:rsidRPr="00EF79E6">
          <w:rPr>
            <w:rFonts w:ascii="Times New Roman" w:hAnsi="Times New Roman" w:cs="Times New Roman"/>
            <w:noProof/>
            <w:sz w:val="22"/>
            <w:szCs w:val="22"/>
          </w:rPr>
          <w:fldChar w:fldCharType="end"/>
        </w:r>
      </w:sdtContent>
    </w:sdt>
  </w:p>
  <w:p w14:paraId="5593061A" w14:textId="77777777" w:rsidR="008C1367" w:rsidRDefault="008C1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138E8A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3MTUwNzQxMzM0MTBQ0lEKTi0uzszPAykwrAUA9xG7LiwAAAA="/>
  </w:docVars>
  <w:rsids>
    <w:rsidRoot w:val="00590D07"/>
    <w:rsid w:val="00006F40"/>
    <w:rsid w:val="00011C8B"/>
    <w:rsid w:val="000149DF"/>
    <w:rsid w:val="00040709"/>
    <w:rsid w:val="0005795F"/>
    <w:rsid w:val="000E2B74"/>
    <w:rsid w:val="0010724A"/>
    <w:rsid w:val="00166C86"/>
    <w:rsid w:val="001A4285"/>
    <w:rsid w:val="001D669F"/>
    <w:rsid w:val="00222CA7"/>
    <w:rsid w:val="00297E3D"/>
    <w:rsid w:val="00301EE4"/>
    <w:rsid w:val="00335EFC"/>
    <w:rsid w:val="003421B4"/>
    <w:rsid w:val="00347140"/>
    <w:rsid w:val="00385246"/>
    <w:rsid w:val="003B0753"/>
    <w:rsid w:val="003D70C2"/>
    <w:rsid w:val="0043050C"/>
    <w:rsid w:val="0044187F"/>
    <w:rsid w:val="00446163"/>
    <w:rsid w:val="004548C2"/>
    <w:rsid w:val="004A531C"/>
    <w:rsid w:val="004A5B46"/>
    <w:rsid w:val="004B2A2D"/>
    <w:rsid w:val="004C0FAB"/>
    <w:rsid w:val="004C15B9"/>
    <w:rsid w:val="004C2965"/>
    <w:rsid w:val="004E29B3"/>
    <w:rsid w:val="004E3DAA"/>
    <w:rsid w:val="0057565F"/>
    <w:rsid w:val="005806BF"/>
    <w:rsid w:val="00590D07"/>
    <w:rsid w:val="00610374"/>
    <w:rsid w:val="00645DE9"/>
    <w:rsid w:val="00675824"/>
    <w:rsid w:val="006C2151"/>
    <w:rsid w:val="006E3D45"/>
    <w:rsid w:val="0071507D"/>
    <w:rsid w:val="00784D58"/>
    <w:rsid w:val="007E26EC"/>
    <w:rsid w:val="00811A5C"/>
    <w:rsid w:val="008646BB"/>
    <w:rsid w:val="008C1367"/>
    <w:rsid w:val="008D6863"/>
    <w:rsid w:val="008D68CD"/>
    <w:rsid w:val="00904AF0"/>
    <w:rsid w:val="00944C82"/>
    <w:rsid w:val="00963716"/>
    <w:rsid w:val="00975E7D"/>
    <w:rsid w:val="00982129"/>
    <w:rsid w:val="009D6416"/>
    <w:rsid w:val="00A122B5"/>
    <w:rsid w:val="00A32EA2"/>
    <w:rsid w:val="00A51749"/>
    <w:rsid w:val="00AD6D78"/>
    <w:rsid w:val="00AE68F1"/>
    <w:rsid w:val="00B1098E"/>
    <w:rsid w:val="00B27CC0"/>
    <w:rsid w:val="00B35851"/>
    <w:rsid w:val="00B86B75"/>
    <w:rsid w:val="00B95702"/>
    <w:rsid w:val="00BB1BBE"/>
    <w:rsid w:val="00BB236A"/>
    <w:rsid w:val="00BC48D5"/>
    <w:rsid w:val="00C36279"/>
    <w:rsid w:val="00C6272F"/>
    <w:rsid w:val="00CE1751"/>
    <w:rsid w:val="00D17FFD"/>
    <w:rsid w:val="00D64253"/>
    <w:rsid w:val="00D9379A"/>
    <w:rsid w:val="00E315A3"/>
    <w:rsid w:val="00E9707D"/>
    <w:rsid w:val="00EB19F6"/>
    <w:rsid w:val="00EB4229"/>
    <w:rsid w:val="00EE13EC"/>
    <w:rsid w:val="00EE50A5"/>
    <w:rsid w:val="00EF79E6"/>
    <w:rsid w:val="00EF7BF8"/>
    <w:rsid w:val="00F22F6F"/>
    <w:rsid w:val="00FC5E12"/>
    <w:rsid w:val="00FF6A92"/>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BB18"/>
  <w15:docId w15:val="{FF27DBB8-F465-442F-B7FB-59015B8F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8C1367"/>
    <w:pPr>
      <w:tabs>
        <w:tab w:val="center" w:pos="4680"/>
        <w:tab w:val="right" w:pos="9360"/>
      </w:tabs>
      <w:spacing w:after="0"/>
    </w:pPr>
  </w:style>
  <w:style w:type="character" w:customStyle="1" w:styleId="HeaderChar">
    <w:name w:val="Header Char"/>
    <w:basedOn w:val="DefaultParagraphFont"/>
    <w:link w:val="Header"/>
    <w:uiPriority w:val="99"/>
    <w:rsid w:val="008C1367"/>
  </w:style>
  <w:style w:type="paragraph" w:styleId="Footer">
    <w:name w:val="footer"/>
    <w:basedOn w:val="Normal"/>
    <w:link w:val="FooterChar"/>
    <w:unhideWhenUsed/>
    <w:rsid w:val="008C1367"/>
    <w:pPr>
      <w:tabs>
        <w:tab w:val="center" w:pos="4680"/>
        <w:tab w:val="right" w:pos="9360"/>
      </w:tabs>
      <w:spacing w:after="0"/>
    </w:pPr>
  </w:style>
  <w:style w:type="character" w:customStyle="1" w:styleId="FooterChar">
    <w:name w:val="Footer Char"/>
    <w:basedOn w:val="DefaultParagraphFont"/>
    <w:link w:val="Footer"/>
    <w:rsid w:val="008C1367"/>
  </w:style>
  <w:style w:type="character" w:styleId="CommentReference">
    <w:name w:val="annotation reference"/>
    <w:basedOn w:val="DefaultParagraphFont"/>
    <w:semiHidden/>
    <w:unhideWhenUsed/>
    <w:rsid w:val="00BB236A"/>
    <w:rPr>
      <w:sz w:val="16"/>
      <w:szCs w:val="16"/>
    </w:rPr>
  </w:style>
  <w:style w:type="paragraph" w:styleId="CommentText">
    <w:name w:val="annotation text"/>
    <w:basedOn w:val="Normal"/>
    <w:link w:val="CommentTextChar"/>
    <w:unhideWhenUsed/>
    <w:rsid w:val="00BB236A"/>
    <w:rPr>
      <w:sz w:val="20"/>
      <w:szCs w:val="20"/>
    </w:rPr>
  </w:style>
  <w:style w:type="character" w:customStyle="1" w:styleId="CommentTextChar">
    <w:name w:val="Comment Text Char"/>
    <w:basedOn w:val="DefaultParagraphFont"/>
    <w:link w:val="CommentText"/>
    <w:rsid w:val="00BB236A"/>
    <w:rPr>
      <w:sz w:val="20"/>
      <w:szCs w:val="20"/>
    </w:rPr>
  </w:style>
  <w:style w:type="paragraph" w:styleId="CommentSubject">
    <w:name w:val="annotation subject"/>
    <w:basedOn w:val="CommentText"/>
    <w:next w:val="CommentText"/>
    <w:link w:val="CommentSubjectChar"/>
    <w:semiHidden/>
    <w:unhideWhenUsed/>
    <w:rsid w:val="00BB236A"/>
    <w:rPr>
      <w:b/>
      <w:bCs/>
    </w:rPr>
  </w:style>
  <w:style w:type="character" w:customStyle="1" w:styleId="CommentSubjectChar">
    <w:name w:val="Comment Subject Char"/>
    <w:basedOn w:val="CommentTextChar"/>
    <w:link w:val="CommentSubject"/>
    <w:semiHidden/>
    <w:rsid w:val="00BB236A"/>
    <w:rPr>
      <w:b/>
      <w:bCs/>
      <w:sz w:val="20"/>
      <w:szCs w:val="20"/>
    </w:rPr>
  </w:style>
  <w:style w:type="paragraph" w:styleId="BalloonText">
    <w:name w:val="Balloon Text"/>
    <w:basedOn w:val="Normal"/>
    <w:link w:val="BalloonTextChar"/>
    <w:semiHidden/>
    <w:unhideWhenUsed/>
    <w:rsid w:val="00BB236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B236A"/>
    <w:rPr>
      <w:rFonts w:ascii="Segoe UI" w:hAnsi="Segoe UI" w:cs="Segoe UI"/>
      <w:sz w:val="18"/>
      <w:szCs w:val="18"/>
    </w:rPr>
  </w:style>
  <w:style w:type="paragraph" w:styleId="Revision">
    <w:name w:val="Revision"/>
    <w:hidden/>
    <w:semiHidden/>
    <w:rsid w:val="009821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5133BA7F27234D82F4F2A309A8C5E2" ma:contentTypeVersion="13" ma:contentTypeDescription="Create a new document." ma:contentTypeScope="" ma:versionID="86dc5b7c294062213b1fadd067e9d420">
  <xsd:schema xmlns:xsd="http://www.w3.org/2001/XMLSchema" xmlns:xs="http://www.w3.org/2001/XMLSchema" xmlns:p="http://schemas.microsoft.com/office/2006/metadata/properties" xmlns:ns3="700d0a6d-0a94-4618-bb00-8c7c7533b67b" xmlns:ns4="454aadba-8170-4537-af01-811f6674fe8e" targetNamespace="http://schemas.microsoft.com/office/2006/metadata/properties" ma:root="true" ma:fieldsID="027b8bb2be1dcffbe99fe614fc6a1dde" ns3:_="" ns4:_="">
    <xsd:import namespace="700d0a6d-0a94-4618-bb00-8c7c7533b67b"/>
    <xsd:import namespace="454aadba-8170-4537-af01-811f6674fe8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d0a6d-0a94-4618-bb00-8c7c7533b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aadba-8170-4537-af01-811f6674fe8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07DBE8-1268-4DEE-9D7D-49E4A027E062}">
  <ds:schemaRefs>
    <ds:schemaRef ds:uri="http://schemas.microsoft.com/office/2006/documentManagement/types"/>
    <ds:schemaRef ds:uri="http://purl.org/dc/terms/"/>
    <ds:schemaRef ds:uri="http://purl.org/dc/dcmitype/"/>
    <ds:schemaRef ds:uri="http://purl.org/dc/elements/1.1/"/>
    <ds:schemaRef ds:uri="700d0a6d-0a94-4618-bb00-8c7c7533b67b"/>
    <ds:schemaRef ds:uri="454aadba-8170-4537-af01-811f6674fe8e"/>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FB2D094-18CF-435E-86F0-4DD95AE019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0d0a6d-0a94-4618-bb00-8c7c7533b67b"/>
    <ds:schemaRef ds:uri="454aadba-8170-4537-af01-811f6674f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119F4A-5BFF-43EC-914D-770ADA3A0F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Katherine Yaun</dc:creator>
  <cp:keywords/>
  <cp:lastModifiedBy>Katherine Yaun</cp:lastModifiedBy>
  <cp:revision>2</cp:revision>
  <dcterms:created xsi:type="dcterms:W3CDTF">2020-01-22T17:13:00Z</dcterms:created>
  <dcterms:modified xsi:type="dcterms:W3CDTF">2020-01-22T17:13:00Z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0x0101005F5133BA7F27234D82F4F2A309A8C5E2</vt:lpwstr>
  </property>
</Properties>
</file>