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تقرير سنوي — مجموعة الخليج للاستثمار والتطوير</w:t>
      </w:r>
    </w:p>
    <w:p>
      <w:r>
        <w:t xml:space="preserve"/>
      </w:r>
    </w:p>
    <w:p>
      <w:pPr>
        <w:bidi/>
        <w:jc w:val="right"/>
      </w:pPr>
      <w:r>
        <w:rPr>
          <w:b w:val="false"/>
          <w:bCs w:val="false"/>
          <w:sz w:val="24"/>
          <w:szCs w:val="24"/>
          <w:rtl/>
        </w:rPr>
        <w:t xml:space="preserve">تأسست مجموعة الخليج للاستثمار والتطوير ش.م.ب في مملكة البحرين عام 2005، وقد نمت لتصبح من أبرز المجموعات الاستثمارية في منطقة الخليج. يتولى قيادة المجموعة الرئيس التنفيذي ناصر عبدالعزيز محمد الدوسري، وهو مواطن بحريني من مواليد عام 1971م، ويحمل الرقم الشخصي 710445231. يمكن التواصل مع المجموعة عبر هاتف المقر الرئيسي 17332200 أو الفاكس 17332211، وكذلك عبر البريد الإلكتروني info@gulf-invest.bh.</w:t>
      </w:r>
    </w:p>
    <w:p>
      <w:r>
        <w:t xml:space="preserve"/>
      </w:r>
    </w:p>
    <w:p>
      <w:pPr>
        <w:bidi/>
        <w:jc w:val="right"/>
      </w:pPr>
      <w:r>
        <w:rPr>
          <w:b w:val="false"/>
          <w:bCs w:val="false"/>
          <w:sz w:val="24"/>
          <w:szCs w:val="24"/>
          <w:rtl/>
        </w:rPr>
        <w:t xml:space="preserve">تعمل المجموعة تحت إشراف وزارة الصناعة والتجارة والسياحة، وقد حصلت على سجل تجاري CR-78901 منذ تأسيسها. يقع المقر الرئيسي للمجموعة في مبنى 55، طريق 3620، مجمع 336، المنامة، مملكة البحرين.</w:t>
      </w:r>
    </w:p>
    <w:p>
      <w:r>
        <w:t xml:space="preserve"/>
      </w:r>
    </w:p>
    <w:p>
      <w:pPr>
        <w:bidi/>
        <w:jc w:val="right"/>
      </w:pPr>
      <w:r>
        <w:rPr>
          <w:b w:val="false"/>
          <w:bCs w:val="false"/>
          <w:sz w:val="24"/>
          <w:szCs w:val="24"/>
          <w:rtl/>
        </w:rPr>
        <w:t xml:space="preserve">وفي إطار التوسعات الأخيرة، أعلنت المجموعة عن شراكة استراتيجية مع مستثمرين من المملكة العربية السعودية والكويت، حيث تشمل الشراكة مشاريع في قطاعات العقارات والتقنية والخدمات المالية. وقد أشاد المدير المالي للمجموعة، فهد سلمان يوسف القحطاني، بالنتائج الإيجابية للعام المنصرم، مشيراً إلى نمو بنسبة 23% في الإيرادات السنوية.</w:t>
      </w:r>
    </w:p>
    <w:p>
      <w:r>
        <w:t xml:space="preserve"/>
      </w:r>
    </w:p>
    <w:p>
      <w:r>
        <w:rPr>
          <w:b w:val="false"/>
          <w:bCs w:val="false"/>
          <w:sz w:val="24"/>
          <w:szCs w:val="24"/>
        </w:rPr>
        <w:t xml:space="preserve">Group: Gulf Investment &amp; Development Co. B.S.C</w:t>
      </w:r>
    </w:p>
    <w:p>
      <w:r>
        <w:rPr>
          <w:b w:val="false"/>
          <w:bCs w:val="false"/>
          <w:sz w:val="24"/>
          <w:szCs w:val="24"/>
        </w:rPr>
        <w:t xml:space="preserve">CR No: CR-78901 | Tel: +973 17332200 | Fax: +973 17332211</w:t>
      </w:r>
    </w:p>
    <w:p>
      <w:r>
        <w:rPr>
          <w:b w:val="false"/>
          <w:bCs w:val="false"/>
          <w:sz w:val="24"/>
          <w:szCs w:val="24"/>
        </w:rPr>
        <w:t xml:space="preserve">Email: info@gulf-invest.bh</w:t>
      </w:r>
    </w:p>
    <w:p>
      <w:r>
        <w:rPr>
          <w:b w:val="false"/>
          <w:bCs w:val="false"/>
          <w:sz w:val="24"/>
          <w:szCs w:val="24"/>
        </w:rPr>
        <w:t xml:space="preserve">Address: Building 55, Road 3620, Block 336, Manama, Kingdom of Bahrain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2026-06-28T10:46:04.815Z</dcterms:created>
  <dcterms:modified xsi:type="dcterms:W3CDTF">2026-06-28T10:46:04.827Z</dcterms:modified>
</cp:coreProperties>
</file>

<file path=docProps/custom.xml><?xml version="1.0" encoding="utf-8"?>
<Properties xmlns="http://schemas.openxmlformats.org/officeDocument/2006/custom-properties" xmlns:vt="http://schemas.openxmlformats.org/officeDocument/2006/docPropsVTypes"/>
</file>