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jc w:val="right"/>
      </w:pPr>
      <w:r>
        <w:rPr>
          <w:b/>
          <w:bCs/>
          <w:sz w:val="28"/>
          <w:szCs w:val="28"/>
          <w:rtl/>
        </w:rPr>
        <w:t xml:space="preserve">لقاء مع رائد أعمال بحريني</w:t>
      </w:r>
    </w:p>
    <w:p>
      <w:r>
        <w:t xml:space="preserve"/>
      </w:r>
    </w:p>
    <w:p>
      <w:pPr>
        <w:bidi/>
        <w:jc w:val="right"/>
      </w:pPr>
      <w:r>
        <w:rPr>
          <w:b w:val="false"/>
          <w:bCs w:val="false"/>
          <w:sz w:val="24"/>
          <w:szCs w:val="24"/>
          <w:rtl/>
        </w:rPr>
        <w:t xml:space="preserve">التقت جريدة الوطن بالسيد عادل حمزة علي المدني، رجل الأعمال البحريني المعروف، على هامش مؤتمر الاستثمار الخليجي المنعقد في المنامة. وأكد المدني أن القطاع الخاص في البحرين يمر بمرحلة نمو استثنائية، مستشهداً بالمشاريع الجديدة التي أطلقتها شركته في مجال التقنية المالية.</w:t>
      </w:r>
    </w:p>
    <w:p>
      <w:r>
        <w:t xml:space="preserve"/>
      </w:r>
    </w:p>
    <w:p>
      <w:pPr>
        <w:bidi/>
        <w:jc w:val="right"/>
      </w:pPr>
      <w:r>
        <w:rPr>
          <w:b w:val="false"/>
          <w:bCs w:val="false"/>
          <w:sz w:val="24"/>
          <w:szCs w:val="24"/>
          <w:rtl/>
        </w:rPr>
        <w:t xml:space="preserve">وأضاف المدني أن شركته تخطط للتوسع في السوقين السعودي والكويتي خلال العام القادم، مشيراً إلى أن التشريعات الاستثمارية في مملكة البحرين تُعدّ من أكثر البيئات جاذبية للمستثمرين في المنطقة.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2026-06-28T10:46:05.084Z</dcterms:created>
  <dcterms:modified xsi:type="dcterms:W3CDTF">2026-06-28T10:46:05.084Z</dcterms:modified>
</cp:coreProperties>
</file>

<file path=docProps/custom.xml><?xml version="1.0" encoding="utf-8"?>
<Properties xmlns="http://schemas.openxmlformats.org/officeDocument/2006/custom-properties" xmlns:vt="http://schemas.openxmlformats.org/officeDocument/2006/docPropsVTypes"/>
</file>