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البحرين تُطلق مشروع التحول الرقمي الوطني الشامل</w:t>
      </w:r>
    </w:p>
    <w:p>
      <w:r>
        <w:t xml:space="preserve"/>
      </w:r>
    </w:p>
    <w:p>
      <w:pPr>
        <w:bidi/>
        <w:jc w:val="right"/>
      </w:pPr>
      <w:r>
        <w:rPr>
          <w:b w:val="false"/>
          <w:bCs w:val="false"/>
          <w:sz w:val="24"/>
          <w:szCs w:val="24"/>
          <w:rtl/>
        </w:rPr>
        <w:t xml:space="preserve">أعلنت هيئة المعلومات والحكومة الإلكترونية عن إطلاق المرحلة الثانية من مشروع التحول الرقمي الوطني الشامل، في حفل رسمي أُقيم في فندق غولدن توليب بالمنامة. وقد أشاد المدير العام للهيئة، الدكتور سعيد أحمد فارس النعيمي، بما تحقق في المرحلة الأولى من المشروع، مؤكداً أن الهيئة تعمل بالتنسيق مع وزارة المواصلات والاتصالات لضمان تكامل البنية التحتية الرقمية في مختلف القطاعات الحكومية.</w:t>
      </w:r>
    </w:p>
    <w:p>
      <w:r>
        <w:t xml:space="preserve"/>
      </w:r>
    </w:p>
    <w:p>
      <w:pPr>
        <w:bidi/>
        <w:jc w:val="right"/>
      </w:pPr>
      <w:r>
        <w:rPr>
          <w:b w:val="false"/>
          <w:bCs w:val="false"/>
          <w:sz w:val="24"/>
          <w:szCs w:val="24"/>
          <w:rtl/>
        </w:rPr>
        <w:t xml:space="preserve">وأوضح الدكتور النعيمي أن المشروع سيشمل ربط جميع الوزارات والجهات الحكومية بشبكة رقمية موحدة، مما سيوفر خدمات إلكترونية متكاملة للمواطنين والمقيمين في مملكة البحرين. كما أشار إلى أن المشروع يندرج ضمن رؤية البحرين الاقتصادية 2030، التي تسعى إلى بناء اقتصاد متنوع قائم على المعرفة والابتكار.</w:t>
      </w:r>
    </w:p>
    <w:p>
      <w:r>
        <w:t xml:space="preserve"/>
      </w:r>
    </w:p>
    <w:p>
      <w:pPr>
        <w:bidi/>
        <w:jc w:val="right"/>
      </w:pPr>
      <w:r>
        <w:rPr>
          <w:b w:val="false"/>
          <w:bCs w:val="false"/>
          <w:sz w:val="24"/>
          <w:szCs w:val="24"/>
          <w:rtl/>
        </w:rPr>
        <w:t xml:space="preserve">وعلى هامش الحفل، صرّح مستشار المشروع، المهندس خالد عمر سلمان الحوسني، بأن تكاليف المرحلة الثانية تبلغ نحو خمسة وعشرين مليون دينار بحريني، مؤكداً أن التمويل جاء من ميزانية الدولة وشراكات مع القطاع الخاص.</w:t>
      </w:r>
    </w:p>
    <w:p>
      <w:r>
        <w:t xml:space="preserve"/>
      </w:r>
    </w:p>
    <w:p>
      <w:r>
        <w:rPr>
          <w:b w:val="false"/>
          <w:bCs w:val="false"/>
          <w:sz w:val="24"/>
          <w:szCs w:val="24"/>
        </w:rPr>
        <w:t xml:space="preserve">Source: Bahrain News Agency | Published: 20/04/2024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2026-06-28T10:46:05.102Z</dcterms:created>
  <dcterms:modified xsi:type="dcterms:W3CDTF">2026-06-28T10:46:05.102Z</dcterms:modified>
</cp:coreProperties>
</file>

<file path=docProps/custom.xml><?xml version="1.0" encoding="utf-8"?>
<Properties xmlns="http://schemas.openxmlformats.org/officeDocument/2006/custom-properties" xmlns:vt="http://schemas.openxmlformats.org/officeDocument/2006/docPropsVTypes"/>
</file>