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D82E2A" w:rsidRPr="007F63CF" w14:paraId="1AB603AE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9DA8D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2062D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0703B39C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E112F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A6530E" w:rsidRPr="007F63CF" w14:paraId="670E3CA0" w14:textId="77777777" w:rsidTr="00EC15D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7E840" w14:textId="3CCE66DE" w:rsidR="00A6530E" w:rsidRDefault="00A6530E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 – Nov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155C860" w14:textId="77777777" w:rsidR="00A6530E" w:rsidRDefault="00A6530E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35202" w14:textId="46C807B4" w:rsidR="00A6530E" w:rsidRDefault="00A6530E" w:rsidP="003945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93C73">
              <w:rPr>
                <w:rFonts w:ascii="Calibri" w:eastAsia="Times New Roman" w:hAnsi="Calibri" w:cs="Calibri"/>
                <w:b/>
                <w:bCs/>
                <w:lang w:eastAsia="en-PH"/>
              </w:rPr>
              <w:t>Variable Rate Loan Changes</w:t>
            </w:r>
          </w:p>
          <w:p w14:paraId="5AB6A1EE" w14:textId="77777777" w:rsidR="00A6530E" w:rsidRPr="003E5493" w:rsidRDefault="00A6530E" w:rsidP="007F2B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E5493">
              <w:rPr>
                <w:rFonts w:ascii="Calibri" w:eastAsia="Times New Roman" w:hAnsi="Calibri" w:cs="Calibri"/>
                <w:lang w:eastAsia="en-PH"/>
              </w:rPr>
              <w:t>Professional Package Variable Rate Loan</w:t>
            </w:r>
          </w:p>
          <w:p w14:paraId="7AE2AB45" w14:textId="77777777" w:rsidR="00A6530E" w:rsidRDefault="00A6530E" w:rsidP="001E6234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E6234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 Principal &amp; Interest ($100k+)</w:t>
            </w:r>
          </w:p>
          <w:p w14:paraId="6579631B" w14:textId="36152256" w:rsidR="00A6530E" w:rsidRPr="00801149" w:rsidRDefault="00A6530E" w:rsidP="00801149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01149">
              <w:rPr>
                <w:rFonts w:ascii="Calibri" w:eastAsia="Times New Roman" w:hAnsi="Calibri" w:cs="Calibri"/>
                <w:lang w:eastAsia="en-PH"/>
              </w:rPr>
              <w:t>LVR ≤60%: reducing from 2.29%pa to 2.19%pa</w:t>
            </w:r>
          </w:p>
          <w:p w14:paraId="1D61334D" w14:textId="63D31475" w:rsidR="00A6530E" w:rsidRPr="00801149" w:rsidRDefault="00A6530E" w:rsidP="00801149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01149">
              <w:rPr>
                <w:rFonts w:ascii="Calibri" w:eastAsia="Times New Roman" w:hAnsi="Calibri" w:cs="Calibri"/>
                <w:lang w:eastAsia="en-PH"/>
              </w:rPr>
              <w:t>LVR ≤80%: reducing from 2.34%pa to 2.24%pa</w:t>
            </w:r>
          </w:p>
          <w:p w14:paraId="3B74F23F" w14:textId="77777777" w:rsidR="00A6530E" w:rsidRPr="003E5493" w:rsidRDefault="00A6530E" w:rsidP="00801149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01149">
              <w:rPr>
                <w:rFonts w:ascii="Calibri" w:eastAsia="Times New Roman" w:hAnsi="Calibri" w:cs="Calibri"/>
                <w:lang w:eastAsia="en-PH"/>
              </w:rPr>
              <w:t>LVR≤ 90% + LMI: reducing from 2.63%pa to 2.54%pa</w:t>
            </w:r>
          </w:p>
          <w:p w14:paraId="35197BD1" w14:textId="61ED3496" w:rsidR="00A6530E" w:rsidRPr="00140E11" w:rsidRDefault="00A6530E" w:rsidP="003E549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40E11">
              <w:rPr>
                <w:rFonts w:ascii="Calibri" w:eastAsia="Times New Roman" w:hAnsi="Calibri" w:cs="Calibri"/>
                <w:lang w:eastAsia="en-PH"/>
              </w:rPr>
              <w:t>Several comparisons rates updated across OO Fixed, LoC and Construction because of the above changes</w:t>
            </w:r>
          </w:p>
          <w:p w14:paraId="1FD8AF14" w14:textId="77777777" w:rsidR="00A6530E" w:rsidRPr="007E20E6" w:rsidRDefault="00A6530E" w:rsidP="003E549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40E11">
              <w:rPr>
                <w:rFonts w:ascii="Calibri" w:eastAsia="Times New Roman" w:hAnsi="Calibri" w:cs="Calibri"/>
                <w:lang w:eastAsia="en-PH"/>
              </w:rPr>
              <w:t>Updated serviceability calculator</w:t>
            </w:r>
          </w:p>
          <w:p w14:paraId="62F4DEA5" w14:textId="7DF7A097" w:rsidR="00A6530E" w:rsidRPr="007E20E6" w:rsidRDefault="00A6530E" w:rsidP="007E20E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A6530E" w:rsidRPr="007F63CF" w14:paraId="55C7B4B3" w14:textId="77777777" w:rsidTr="000F5728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7308D" w14:textId="177DC12F" w:rsidR="00A6530E" w:rsidRDefault="00A6530E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52E473E" w14:textId="77777777" w:rsidR="00A6530E" w:rsidRDefault="00A6530E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219F8" w14:textId="77777777" w:rsidR="00A6530E" w:rsidRDefault="00A6530E" w:rsidP="003945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50416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Fixed Rate Loan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Changes</w:t>
            </w:r>
          </w:p>
          <w:p w14:paraId="5E1E9DDE" w14:textId="77777777" w:rsidR="00A6530E" w:rsidRPr="008F5CE7" w:rsidRDefault="00A6530E" w:rsidP="0094363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F5CE7">
              <w:rPr>
                <w:rFonts w:ascii="Calibri" w:eastAsia="Times New Roman" w:hAnsi="Calibri" w:cs="Calibri"/>
                <w:lang w:eastAsia="en-PH"/>
              </w:rPr>
              <w:t>Professional Package 2-year fixed rate loan</w:t>
            </w:r>
          </w:p>
          <w:p w14:paraId="0978EC31" w14:textId="77777777" w:rsidR="00A6530E" w:rsidRDefault="00A6530E" w:rsidP="008F5CE7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509F0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 Principal &amp; Interest ($100k+)</w:t>
            </w:r>
          </w:p>
          <w:p w14:paraId="7F7B0FB8" w14:textId="77777777" w:rsidR="00A6530E" w:rsidRPr="008147F0" w:rsidRDefault="00A6530E" w:rsidP="00164437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147F0">
              <w:rPr>
                <w:rFonts w:ascii="Calibri" w:eastAsia="Times New Roman" w:hAnsi="Calibri" w:cs="Calibri"/>
                <w:lang w:eastAsia="en-PH"/>
              </w:rPr>
              <w:t xml:space="preserve">LVR ≤80%:   increasing from 1.84%pa to 2.14%pa </w:t>
            </w:r>
          </w:p>
          <w:p w14:paraId="4FDA5CF5" w14:textId="77777777" w:rsidR="00A6530E" w:rsidRPr="00737CA4" w:rsidRDefault="00A6530E" w:rsidP="00164437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147F0">
              <w:rPr>
                <w:rFonts w:ascii="Calibri" w:eastAsia="Times New Roman" w:hAnsi="Calibri" w:cs="Calibri"/>
                <w:lang w:eastAsia="en-PH"/>
              </w:rPr>
              <w:t>LVR ≤90% + LMI: increasing from 2.04%pa to 2.34%pa</w:t>
            </w:r>
          </w:p>
          <w:p w14:paraId="4E5B4C9E" w14:textId="77777777" w:rsidR="00A6530E" w:rsidRPr="000E5A4C" w:rsidRDefault="00A6530E" w:rsidP="000E5A4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E5A4C">
              <w:rPr>
                <w:rFonts w:ascii="Calibri" w:eastAsia="Times New Roman" w:hAnsi="Calibri" w:cs="Calibri"/>
                <w:lang w:eastAsia="en-PH"/>
              </w:rPr>
              <w:t>Basic Package 2-year fixed rate loan</w:t>
            </w:r>
          </w:p>
          <w:p w14:paraId="4196F441" w14:textId="77777777" w:rsidR="00A6530E" w:rsidRDefault="00A6530E" w:rsidP="00AC6793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43824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 Principal &amp; Interest ($40k+)</w:t>
            </w:r>
          </w:p>
          <w:p w14:paraId="48F45770" w14:textId="77777777" w:rsidR="00A6530E" w:rsidRDefault="00A6530E" w:rsidP="00AC6793">
            <w:pPr>
              <w:pStyle w:val="ListParagraph"/>
              <w:numPr>
                <w:ilvl w:val="3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22E95">
              <w:rPr>
                <w:rFonts w:ascii="Calibri" w:eastAsia="Times New Roman" w:hAnsi="Calibri" w:cs="Calibri"/>
                <w:lang w:eastAsia="en-PH"/>
              </w:rPr>
              <w:t>LVR ≤90% + LMI:  increasing from 2.04%pa to 2.34%pa</w:t>
            </w:r>
          </w:p>
          <w:p w14:paraId="3B70144D" w14:textId="396CB0EF" w:rsidR="00A6530E" w:rsidRPr="00922E95" w:rsidRDefault="00A6530E" w:rsidP="00482BE2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Updated serviceability calculator</w:t>
            </w:r>
          </w:p>
        </w:tc>
      </w:tr>
      <w:tr w:rsidR="00A6530E" w:rsidRPr="007F63CF" w14:paraId="66ABAB1B" w14:textId="77777777" w:rsidTr="00EC15D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6973A" w14:textId="1DBAA43E" w:rsidR="00A6530E" w:rsidRDefault="00A6530E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8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485D5" w14:textId="77777777" w:rsidR="00A6530E" w:rsidRDefault="00A6530E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93C7E" w14:textId="77777777" w:rsidR="00A6530E" w:rsidRDefault="00A6530E" w:rsidP="003945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6530E">
              <w:rPr>
                <w:rFonts w:ascii="Calibri" w:eastAsia="Times New Roman" w:hAnsi="Calibri" w:cs="Calibri"/>
                <w:b/>
                <w:bCs/>
                <w:lang w:eastAsia="en-PH"/>
              </w:rPr>
              <w:t>Notice Account available for a limited time</w:t>
            </w:r>
          </w:p>
          <w:p w14:paraId="29912FC2" w14:textId="77777777" w:rsidR="00A6530E" w:rsidRDefault="00F05F4A" w:rsidP="00F05F4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10323">
              <w:rPr>
                <w:rFonts w:ascii="Calibri" w:eastAsia="Times New Roman" w:hAnsi="Calibri" w:cs="Calibri"/>
                <w:lang w:eastAsia="en-PH"/>
              </w:rPr>
              <w:t>Effective 8 November 2021</w:t>
            </w:r>
            <w:r w:rsidR="005E5320">
              <w:rPr>
                <w:rFonts w:ascii="Calibri" w:eastAsia="Times New Roman" w:hAnsi="Calibri" w:cs="Calibri"/>
                <w:lang w:eastAsia="en-PH"/>
              </w:rPr>
              <w:t>,</w:t>
            </w:r>
            <w:r w:rsidRPr="00C10323">
              <w:rPr>
                <w:rFonts w:ascii="Calibri" w:eastAsia="Times New Roman" w:hAnsi="Calibri" w:cs="Calibri"/>
                <w:lang w:eastAsia="en-PH"/>
              </w:rPr>
              <w:t xml:space="preserve"> AMP</w:t>
            </w:r>
            <w:r w:rsidRPr="00C10323">
              <w:rPr>
                <w:rFonts w:ascii="Calibri" w:eastAsia="Times New Roman" w:hAnsi="Calibri" w:cs="Calibri"/>
                <w:lang w:eastAsia="en-PH"/>
              </w:rPr>
              <w:t xml:space="preserve"> will now accept new Notice Account applications from you for all entities other than ‘Individuals’ (personal customers and sole traders) for a limited time, until further notice.</w:t>
            </w:r>
          </w:p>
          <w:p w14:paraId="306EA679" w14:textId="77777777" w:rsidR="005E5320" w:rsidRDefault="00C42373" w:rsidP="00C423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42373">
              <w:rPr>
                <w:rFonts w:ascii="Calibri" w:eastAsia="Times New Roman" w:hAnsi="Calibri" w:cs="Calibri"/>
                <w:b/>
                <w:bCs/>
                <w:lang w:eastAsia="en-PH"/>
              </w:rPr>
              <w:t>Refinance cashback offer is still available</w:t>
            </w:r>
          </w:p>
          <w:p w14:paraId="3BED3ED8" w14:textId="77777777" w:rsidR="00C60008" w:rsidRPr="00431AC0" w:rsidRDefault="00431AC0" w:rsidP="00431AC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31AC0">
              <w:rPr>
                <w:rFonts w:ascii="Calibri" w:eastAsia="Times New Roman" w:hAnsi="Calibri" w:cs="Calibri"/>
                <w:lang w:eastAsia="en-PH"/>
              </w:rPr>
              <w:t>Extension of the</w:t>
            </w:r>
            <w:r w:rsidRPr="00431AC0">
              <w:rPr>
                <w:rFonts w:ascii="Calibri" w:eastAsia="Times New Roman" w:hAnsi="Calibri" w:cs="Calibri"/>
                <w:lang w:eastAsia="en-PH"/>
              </w:rPr>
              <w:t xml:space="preserve"> current refinance cashback offer into November, with an extended eligible settlement period</w:t>
            </w:r>
            <w:r w:rsidRPr="00431AC0">
              <w:rPr>
                <w:rFonts w:ascii="Calibri" w:eastAsia="Times New Roman" w:hAnsi="Calibri" w:cs="Calibri"/>
                <w:lang w:eastAsia="en-PH"/>
              </w:rPr>
              <w:t xml:space="preserve">. </w:t>
            </w:r>
            <w:r w:rsidRPr="00431AC0">
              <w:rPr>
                <w:rFonts w:ascii="Calibri" w:eastAsia="Times New Roman" w:hAnsi="Calibri" w:cs="Calibri"/>
                <w:lang w:eastAsia="en-PH"/>
              </w:rPr>
              <w:t>Apply to refinance with AMP Bank by 30 November 2021 and settle by 28 February 2022 and your customer could receive $3,000 cashback deposited into their AMP Bank deposit account.</w:t>
            </w:r>
          </w:p>
          <w:p w14:paraId="7E00D66C" w14:textId="77777777" w:rsidR="00431AC0" w:rsidRPr="0062479B" w:rsidRDefault="00431AC0" w:rsidP="00431AC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31AC0"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4B971BB2" w14:textId="77777777" w:rsidR="0062479B" w:rsidRDefault="0062479B" w:rsidP="006247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  <w:p w14:paraId="2A2EF64D" w14:textId="5750F81D" w:rsidR="0062479B" w:rsidRPr="0062479B" w:rsidRDefault="0062479B" w:rsidP="006247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Click </w:t>
            </w:r>
            <w:hyperlink r:id="rId5" w:history="1">
              <w:r w:rsidRPr="00DF52A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AMP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</w:p>
        </w:tc>
      </w:tr>
      <w:tr w:rsidR="00D82E2A" w:rsidRPr="007F63CF" w14:paraId="2E5C47CD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441AF" w14:textId="322A1677" w:rsidR="00D82E2A" w:rsidRDefault="00F457A9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4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89284" w14:textId="77777777" w:rsidR="00D82E2A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60256E" w14:textId="1169FC5C" w:rsidR="00D82E2A" w:rsidRDefault="005952B4" w:rsidP="009004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952B4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MLE Update – ‘Expenses for Adult </w:t>
            </w:r>
            <w:proofErr w:type="spellStart"/>
            <w:r w:rsidRPr="005952B4">
              <w:rPr>
                <w:rFonts w:ascii="Calibri" w:eastAsia="Times New Roman" w:hAnsi="Calibri" w:cs="Calibri"/>
                <w:b/>
                <w:bCs/>
                <w:lang w:eastAsia="en-PH"/>
              </w:rPr>
              <w:t>Dependants’</w:t>
            </w:r>
            <w:proofErr w:type="spellEnd"/>
            <w:r w:rsidR="00CE2B8A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– Definition Update</w:t>
            </w:r>
          </w:p>
          <w:p w14:paraId="3089B7C8" w14:textId="5BCFA522" w:rsidR="000F1818" w:rsidRPr="00926E6E" w:rsidRDefault="00772175" w:rsidP="00EC668A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26E6E">
              <w:rPr>
                <w:rFonts w:ascii="Calibri" w:eastAsia="Times New Roman" w:hAnsi="Calibri" w:cs="Calibri"/>
                <w:lang w:eastAsia="en-PH"/>
              </w:rPr>
              <w:t>Items you should consider include extra expenses you are helping with for any person who lives within the household or outside of your household (</w:t>
            </w:r>
            <w:r w:rsidR="00912E7B" w:rsidRPr="00926E6E">
              <w:rPr>
                <w:rFonts w:ascii="Calibri" w:eastAsia="Times New Roman" w:hAnsi="Calibri" w:cs="Calibri"/>
                <w:lang w:eastAsia="en-PH"/>
              </w:rPr>
              <w:t>e.g.,</w:t>
            </w:r>
            <w:r w:rsidRPr="00926E6E">
              <w:rPr>
                <w:rFonts w:ascii="Calibri" w:eastAsia="Times New Roman" w:hAnsi="Calibri" w:cs="Calibri"/>
                <w:lang w:eastAsia="en-PH"/>
              </w:rPr>
              <w:t xml:space="preserve"> allowances paid, motor vehicle expenses, board/rent)</w:t>
            </w:r>
          </w:p>
        </w:tc>
      </w:tr>
      <w:tr w:rsidR="00D82E2A" w:rsidRPr="007F63CF" w14:paraId="52486005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2EDDB" w14:textId="350A1704" w:rsidR="00D82E2A" w:rsidRPr="007F63CF" w:rsidRDefault="00906541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BEDFB" w14:textId="77777777" w:rsidR="00D82E2A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Bankwest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07254" w14:textId="77777777" w:rsidR="00D82E2A" w:rsidRDefault="00C50D4A" w:rsidP="00D179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50D4A">
              <w:rPr>
                <w:rFonts w:ascii="Calibri" w:eastAsia="Times New Roman" w:hAnsi="Calibri" w:cs="Calibri"/>
                <w:b/>
                <w:bCs/>
                <w:lang w:eastAsia="en-PH"/>
              </w:rPr>
              <w:t>Changes to Fixed Rate Home Loans</w:t>
            </w:r>
          </w:p>
          <w:p w14:paraId="66035F6F" w14:textId="77777777" w:rsidR="00AE5387" w:rsidRDefault="000A758A" w:rsidP="00AE538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A758A">
              <w:rPr>
                <w:rFonts w:ascii="Calibri" w:eastAsia="Times New Roman" w:hAnsi="Calibri" w:cs="Calibri"/>
                <w:lang w:eastAsia="en-PH"/>
              </w:rPr>
              <w:t>I</w:t>
            </w:r>
            <w:r w:rsidR="002A15B0" w:rsidRPr="000A758A">
              <w:rPr>
                <w:rFonts w:ascii="Calibri" w:eastAsia="Times New Roman" w:hAnsi="Calibri" w:cs="Calibri"/>
                <w:lang w:eastAsia="en-PH"/>
              </w:rPr>
              <w:t>ncreasing rates across a range of fixed rate Home Loan products.</w:t>
            </w:r>
          </w:p>
          <w:p w14:paraId="109EDC28" w14:textId="77777777" w:rsidR="00E30E34" w:rsidRDefault="00E30E34" w:rsidP="00E30E3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31E5A71A" w14:textId="0CAF3CB5" w:rsidR="00E30E34" w:rsidRPr="00E30E34" w:rsidRDefault="00E30E34" w:rsidP="00E30E3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DF52A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Bankwest Updates</w:t>
            </w:r>
          </w:p>
        </w:tc>
      </w:tr>
      <w:tr w:rsidR="00D82E2A" w:rsidRPr="007F63CF" w14:paraId="07ED3A09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82868" w14:textId="788DC729" w:rsidR="00D82E2A" w:rsidRPr="007F63CF" w:rsidRDefault="00364767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– Nov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12E438" w14:textId="77777777" w:rsidR="00D82E2A" w:rsidRPr="007F63CF" w:rsidRDefault="00D82E2A" w:rsidP="002C2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D6506" w14:textId="71D46354" w:rsidR="00D82E2A" w:rsidRDefault="00784945" w:rsidP="004156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61F92">
              <w:rPr>
                <w:rFonts w:ascii="Calibri" w:eastAsia="Times New Roman" w:hAnsi="Calibri" w:cs="Calibri"/>
                <w:b/>
                <w:bCs/>
                <w:lang w:eastAsia="en-PH"/>
              </w:rPr>
              <w:t>Fixed Rate Home Loans</w:t>
            </w:r>
            <w:r w:rsidR="008D5002" w:rsidRPr="008D5002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Update</w:t>
            </w:r>
          </w:p>
          <w:p w14:paraId="4B27880E" w14:textId="77777777" w:rsidR="00AC2F02" w:rsidRDefault="00AF19BD" w:rsidP="00501FB9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F19BD">
              <w:rPr>
                <w:rFonts w:ascii="Calibri" w:eastAsia="Times New Roman" w:hAnsi="Calibri" w:cs="Calibri"/>
                <w:lang w:eastAsia="en-PH"/>
              </w:rPr>
              <w:t>The changes are effective for new customers and existing customers applying for or switching to a Fixed Rate Home Loan, both with and without Mortgage Advantage (MAV) package rates</w:t>
            </w:r>
          </w:p>
          <w:p w14:paraId="6682468D" w14:textId="77777777" w:rsidR="002067DB" w:rsidRPr="008E632D" w:rsidRDefault="007150B3" w:rsidP="002067D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E632D">
              <w:rPr>
                <w:rFonts w:ascii="Calibri" w:eastAsia="Times New Roman" w:hAnsi="Calibri" w:cs="Calibri"/>
                <w:b/>
                <w:bCs/>
                <w:lang w:eastAsia="en-PH"/>
              </w:rPr>
              <w:t>New Applications</w:t>
            </w:r>
          </w:p>
          <w:p w14:paraId="30CC7847" w14:textId="77777777" w:rsidR="008E632D" w:rsidRDefault="00EB5CAF" w:rsidP="008E632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B5CAF">
              <w:rPr>
                <w:rFonts w:ascii="Calibri" w:eastAsia="Times New Roman" w:hAnsi="Calibri" w:cs="Calibri"/>
                <w:lang w:eastAsia="en-PH"/>
              </w:rPr>
              <w:t>We will automatically process new applications submitted on and from today, Friday 5 November, at the new interest rates.</w:t>
            </w:r>
          </w:p>
          <w:p w14:paraId="6B502BE5" w14:textId="77777777" w:rsidR="004874FD" w:rsidRDefault="00BE0999" w:rsidP="00BE0999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E0999">
              <w:rPr>
                <w:rFonts w:ascii="Calibri" w:eastAsia="Times New Roman" w:hAnsi="Calibri" w:cs="Calibri"/>
                <w:lang w:eastAsia="en-PH"/>
              </w:rPr>
              <w:t>Loans that fund on and from today, Friday 5 November, will automatically receive the new rates and any approved discounts if the customer did not choose to Rate Lock their loan.</w:t>
            </w:r>
          </w:p>
          <w:p w14:paraId="0511D940" w14:textId="77777777" w:rsidR="00BC693F" w:rsidRDefault="00C164B8" w:rsidP="00BC69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164B8">
              <w:rPr>
                <w:rFonts w:ascii="Calibri" w:eastAsia="Times New Roman" w:hAnsi="Calibri" w:cs="Calibri"/>
                <w:b/>
                <w:bCs/>
                <w:lang w:eastAsia="en-PH"/>
              </w:rPr>
              <w:t>Switches, Splits and Refixes</w:t>
            </w:r>
          </w:p>
          <w:p w14:paraId="02717DE0" w14:textId="77777777" w:rsidR="00946030" w:rsidRDefault="00551278" w:rsidP="0094603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51278">
              <w:rPr>
                <w:rFonts w:ascii="Calibri" w:eastAsia="Times New Roman" w:hAnsi="Calibri" w:cs="Calibri"/>
                <w:lang w:eastAsia="en-PH"/>
              </w:rPr>
              <w:t>We will automatically process all new customer switch requests submitted on and from today, Friday 5 November, at the new interest rates.</w:t>
            </w:r>
          </w:p>
          <w:p w14:paraId="5B4A0BEC" w14:textId="749A8F0E" w:rsidR="00A26568" w:rsidRDefault="009A13B6" w:rsidP="0094603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A13B6">
              <w:rPr>
                <w:rFonts w:ascii="Calibri" w:eastAsia="Times New Roman" w:hAnsi="Calibri" w:cs="Calibri"/>
                <w:lang w:eastAsia="en-PH"/>
              </w:rPr>
              <w:t xml:space="preserve">If you have submitted a switch, </w:t>
            </w:r>
            <w:r w:rsidR="00605249" w:rsidRPr="009A13B6">
              <w:rPr>
                <w:rFonts w:ascii="Calibri" w:eastAsia="Times New Roman" w:hAnsi="Calibri" w:cs="Calibri"/>
                <w:lang w:eastAsia="en-PH"/>
              </w:rPr>
              <w:t>split,</w:t>
            </w:r>
            <w:r w:rsidRPr="009A13B6">
              <w:rPr>
                <w:rFonts w:ascii="Calibri" w:eastAsia="Times New Roman" w:hAnsi="Calibri" w:cs="Calibri"/>
                <w:lang w:eastAsia="en-PH"/>
              </w:rPr>
              <w:t xml:space="preserve"> or refix request before today, Friday 5 November, the rate applied will be the same as it was on the date you submitted the request.</w:t>
            </w:r>
          </w:p>
          <w:p w14:paraId="241DDE0C" w14:textId="77777777" w:rsidR="00F77F0A" w:rsidRDefault="00097CF0" w:rsidP="00F77F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97CF0">
              <w:rPr>
                <w:rFonts w:ascii="Calibri" w:eastAsia="Times New Roman" w:hAnsi="Calibri" w:cs="Calibri"/>
                <w:b/>
                <w:bCs/>
                <w:lang w:eastAsia="en-PH"/>
              </w:rPr>
              <w:t>Rate Lock</w:t>
            </w:r>
          </w:p>
          <w:p w14:paraId="54394191" w14:textId="77777777" w:rsidR="00F77973" w:rsidRDefault="00CD160F" w:rsidP="00F77973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D160F">
              <w:rPr>
                <w:rFonts w:ascii="Calibri" w:eastAsia="Times New Roman" w:hAnsi="Calibri" w:cs="Calibri"/>
                <w:lang w:eastAsia="en-PH"/>
              </w:rPr>
              <w:t xml:space="preserve">Introduction of our </w:t>
            </w:r>
            <w:r w:rsidRPr="00CD160F">
              <w:rPr>
                <w:rFonts w:ascii="Calibri" w:eastAsia="Times New Roman" w:hAnsi="Calibri" w:cs="Calibri"/>
                <w:lang w:eastAsia="en-PH"/>
              </w:rPr>
              <w:t>Rate Lock Offer, where we are offering customers a discounted Rate Lock Fee of $375 per account (normally $750) from 5 July 2021 until 31 January 2022.</w:t>
            </w:r>
          </w:p>
          <w:p w14:paraId="5BE855F3" w14:textId="77777777" w:rsidR="007B3CD0" w:rsidRDefault="007B3CD0" w:rsidP="007B3C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1CC9E1EE" w14:textId="47E20255" w:rsidR="007B3CD0" w:rsidRPr="007B3CD0" w:rsidRDefault="007B3CD0" w:rsidP="007B3C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7" w:history="1">
              <w:r w:rsidRPr="007B3CD0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Commonwealth Bank updates</w:t>
            </w:r>
          </w:p>
        </w:tc>
      </w:tr>
      <w:tr w:rsidR="00A37E9D" w:rsidRPr="007F63CF" w14:paraId="137AFEC6" w14:textId="77777777" w:rsidTr="00E57FC2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82531" w14:textId="709364C0" w:rsidR="00A37E9D" w:rsidRPr="007F63CF" w:rsidRDefault="00A37E9D" w:rsidP="00A37E9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8 – Nov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178BF0" w14:textId="25F36BBC" w:rsidR="00A37E9D" w:rsidRDefault="00A37E9D" w:rsidP="00A37E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HSBC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222FF8" w14:textId="77777777" w:rsidR="00A37E9D" w:rsidRDefault="00A37E9D" w:rsidP="00A37E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E3F32">
              <w:rPr>
                <w:rFonts w:ascii="Calibri" w:eastAsia="Times New Roman" w:hAnsi="Calibri" w:cs="Calibri"/>
                <w:b/>
                <w:bCs/>
                <w:lang w:eastAsia="en-PH"/>
              </w:rPr>
              <w:t>HSBC Australia launches 1.97%p.a. variable home loan</w:t>
            </w:r>
          </w:p>
          <w:p w14:paraId="10D42063" w14:textId="47276A01" w:rsidR="00A37E9D" w:rsidRDefault="00A37E9D" w:rsidP="00A37E9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F1DF1">
              <w:rPr>
                <w:rFonts w:ascii="Calibri" w:eastAsia="Times New Roman" w:hAnsi="Calibri" w:cs="Calibri"/>
                <w:lang w:eastAsia="en-PH"/>
              </w:rPr>
              <w:t>HSBC Australia is reducing all variable rate home loans with our new headline rate becoming the 1.97%p.a. Home Value home loan (OO P&amp;I LVR ≤70%)</w:t>
            </w:r>
          </w:p>
          <w:p w14:paraId="76BBA04A" w14:textId="77777777" w:rsidR="00A37E9D" w:rsidRDefault="00A37E9D" w:rsidP="00A37E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811B5">
              <w:rPr>
                <w:rFonts w:ascii="Calibri" w:eastAsia="Times New Roman" w:hAnsi="Calibri" w:cs="Calibri"/>
                <w:b/>
                <w:bCs/>
                <w:lang w:eastAsia="en-PH"/>
              </w:rPr>
              <w:t>Pipeline Applications – Variable Rates</w:t>
            </w:r>
          </w:p>
          <w:p w14:paraId="587AA4DC" w14:textId="77777777" w:rsidR="00A37E9D" w:rsidRDefault="00A37E9D" w:rsidP="00A37E9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D73C3"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New pricing will be available for loans submitted on or after 8 November. Should any pipeline applications request a change in pricing, then please seek approval first from </w:t>
            </w:r>
            <w:r>
              <w:rPr>
                <w:rFonts w:ascii="Calibri" w:eastAsia="Times New Roman" w:hAnsi="Calibri" w:cs="Calibri"/>
                <w:lang w:eastAsia="en-PH"/>
              </w:rPr>
              <w:t>the</w:t>
            </w:r>
            <w:r w:rsidRPr="00BD73C3">
              <w:rPr>
                <w:rFonts w:ascii="Calibri" w:eastAsia="Times New Roman" w:hAnsi="Calibri" w:cs="Calibri"/>
                <w:lang w:eastAsia="en-PH"/>
              </w:rPr>
              <w:t xml:space="preserve"> HSBC Partnership Manager and rates may be applied after settlement through a variation request.</w:t>
            </w:r>
          </w:p>
          <w:p w14:paraId="6C84EC16" w14:textId="77777777" w:rsidR="00A37E9D" w:rsidRDefault="00A37E9D" w:rsidP="00A37E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71CCD">
              <w:rPr>
                <w:rFonts w:ascii="Calibri" w:eastAsia="Times New Roman" w:hAnsi="Calibri" w:cs="Calibri"/>
                <w:b/>
                <w:bCs/>
                <w:lang w:eastAsia="en-PH"/>
              </w:rPr>
              <w:t>HSBC $3,288 Cashback Refinance Offer</w:t>
            </w:r>
          </w:p>
          <w:p w14:paraId="29AB495D" w14:textId="77777777" w:rsidR="00A37E9D" w:rsidRDefault="00A37E9D" w:rsidP="00A37E9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13E57">
              <w:rPr>
                <w:rFonts w:ascii="Calibri" w:eastAsia="Times New Roman" w:hAnsi="Calibri" w:cs="Calibri"/>
                <w:lang w:eastAsia="en-PH"/>
              </w:rPr>
              <w:t>HSBC’s extremely popular $3,288 cashback refinance is remains available till until the end of 2021</w:t>
            </w:r>
          </w:p>
          <w:p w14:paraId="16C59BCC" w14:textId="77777777" w:rsidR="00A37E9D" w:rsidRDefault="00A37E9D" w:rsidP="00A37E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D2866">
              <w:rPr>
                <w:rFonts w:ascii="Calibri" w:eastAsia="Times New Roman" w:hAnsi="Calibri" w:cs="Calibri"/>
                <w:b/>
                <w:bCs/>
                <w:lang w:eastAsia="en-PH"/>
              </w:rPr>
              <w:t>HSBC Branches – Saturday Trade – 7 new locations (NSW + VIC)</w:t>
            </w:r>
          </w:p>
          <w:p w14:paraId="07604671" w14:textId="7C2A0460" w:rsidR="00A37E9D" w:rsidRPr="00E6684D" w:rsidRDefault="00A37E9D" w:rsidP="00A37E9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6684D">
              <w:rPr>
                <w:rFonts w:ascii="Calibri" w:eastAsia="Times New Roman" w:hAnsi="Calibri" w:cs="Calibri"/>
                <w:lang w:eastAsia="en-PH"/>
              </w:rPr>
              <w:t>From 4 December, customers can visit more local HSBC branches on Saturdays (10am – 2pm).</w:t>
            </w:r>
          </w:p>
        </w:tc>
      </w:tr>
      <w:tr w:rsidR="00D82E2A" w:rsidRPr="007F63CF" w14:paraId="521F1AB4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C9B5D" w14:textId="77777777" w:rsidR="00D82E2A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31 – Oct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129C8" w14:textId="77777777" w:rsidR="00D82E2A" w:rsidRDefault="00D82E2A" w:rsidP="002C29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1CC62E" w14:textId="77777777" w:rsidR="00D82E2A" w:rsidRDefault="00D82E2A" w:rsidP="002C29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630ED">
              <w:rPr>
                <w:rFonts w:ascii="Calibri" w:eastAsia="Times New Roman" w:hAnsi="Calibri" w:cs="Calibri"/>
                <w:b/>
                <w:bCs/>
                <w:lang w:eastAsia="en-PH"/>
              </w:rPr>
              <w:t>Loan Commitments for Mortgage Loans, Lines of Credit/Margin Loans/Overdrafts</w:t>
            </w:r>
          </w:p>
          <w:p w14:paraId="64EBBB75" w14:textId="77777777" w:rsidR="00D82E2A" w:rsidRDefault="00D82E2A" w:rsidP="002C29B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4B24">
              <w:rPr>
                <w:rFonts w:ascii="Calibri" w:eastAsia="Times New Roman" w:hAnsi="Calibri" w:cs="Calibri"/>
                <w:lang w:eastAsia="en-PH"/>
              </w:rPr>
              <w:t>Amended wording to–Higher of the Qualifying Rate of 5.25% or actual rate + 3.0%</w:t>
            </w:r>
          </w:p>
          <w:p w14:paraId="42837529" w14:textId="77777777" w:rsidR="00D82E2A" w:rsidRDefault="00D82E2A" w:rsidP="002C29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Form Updates</w:t>
            </w:r>
          </w:p>
          <w:p w14:paraId="566BA007" w14:textId="77777777" w:rsidR="00D82E2A" w:rsidRPr="002551D1" w:rsidRDefault="00D82E2A" w:rsidP="002C29B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Update to </w:t>
            </w:r>
            <w:r w:rsidRPr="00045624">
              <w:rPr>
                <w:rFonts w:ascii="Calibri" w:eastAsia="Times New Roman" w:hAnsi="Calibri" w:cs="Calibri"/>
                <w:lang w:eastAsia="en-PH"/>
              </w:rPr>
              <w:t>Home Loan Matrix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which could be found at </w:t>
            </w:r>
            <w:r w:rsidRPr="00045624">
              <w:rPr>
                <w:rFonts w:ascii="Calibri" w:eastAsia="Times New Roman" w:hAnsi="Calibri" w:cs="Calibri"/>
                <w:b/>
                <w:bCs/>
                <w:lang w:eastAsia="en-PH"/>
              </w:rPr>
              <w:t>Broker Website under Useful Resources &gt; Forms &amp; Brochures &gt; Matrix</w:t>
            </w:r>
          </w:p>
          <w:p w14:paraId="483270D3" w14:textId="5EF1EFBE" w:rsidR="002551D1" w:rsidRPr="00844B24" w:rsidRDefault="00B12248" w:rsidP="002C29B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Update to </w:t>
            </w:r>
            <w:r w:rsidRPr="00B12248">
              <w:rPr>
                <w:rFonts w:ascii="Calibri" w:eastAsia="Times New Roman" w:hAnsi="Calibri" w:cs="Calibri"/>
                <w:b/>
                <w:bCs/>
                <w:lang w:eastAsia="en-PH"/>
              </w:rPr>
              <w:t>Privacy Policy Brochure Forms</w:t>
            </w:r>
          </w:p>
        </w:tc>
      </w:tr>
      <w:tr w:rsidR="00D82E2A" w:rsidRPr="007F63CF" w14:paraId="4117170B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D6539" w14:textId="24B2ACF8" w:rsidR="00D82E2A" w:rsidRDefault="00EA18C2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Nov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127C0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Macquarie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4A730" w14:textId="77777777" w:rsidR="00D82E2A" w:rsidRDefault="00EA18C2" w:rsidP="00EA18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Home Loan Rate Changes</w:t>
            </w:r>
          </w:p>
          <w:p w14:paraId="6DD143D9" w14:textId="77777777" w:rsidR="00EA18C2" w:rsidRDefault="00B833FE" w:rsidP="0046308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I</w:t>
            </w:r>
            <w:r w:rsidR="00C13CB6" w:rsidRPr="00B833FE">
              <w:rPr>
                <w:rFonts w:ascii="Calibri" w:eastAsia="Times New Roman" w:hAnsi="Calibri" w:cs="Calibri"/>
                <w:lang w:val="en-US" w:eastAsia="en-PH"/>
              </w:rPr>
              <w:t xml:space="preserve">ncreasing </w:t>
            </w:r>
            <w:r w:rsidRPr="00B833FE">
              <w:rPr>
                <w:rFonts w:ascii="Calibri" w:eastAsia="Times New Roman" w:hAnsi="Calibri" w:cs="Calibri"/>
                <w:lang w:val="en-US" w:eastAsia="en-PH"/>
              </w:rPr>
              <w:t xml:space="preserve">of </w:t>
            </w:r>
            <w:r w:rsidR="00C13CB6" w:rsidRPr="00B833FE">
              <w:rPr>
                <w:rFonts w:ascii="Calibri" w:eastAsia="Times New Roman" w:hAnsi="Calibri" w:cs="Calibri"/>
                <w:lang w:val="en-US" w:eastAsia="en-PH"/>
              </w:rPr>
              <w:t xml:space="preserve">the majority of </w:t>
            </w:r>
            <w:r w:rsidRPr="00B833FE">
              <w:rPr>
                <w:rFonts w:ascii="Calibri" w:eastAsia="Times New Roman" w:hAnsi="Calibri" w:cs="Calibri"/>
                <w:lang w:val="en-US" w:eastAsia="en-PH"/>
              </w:rPr>
              <w:t xml:space="preserve">the </w:t>
            </w:r>
            <w:r w:rsidR="00C13CB6" w:rsidRPr="00B833FE">
              <w:rPr>
                <w:rFonts w:ascii="Calibri" w:eastAsia="Times New Roman" w:hAnsi="Calibri" w:cs="Calibri"/>
                <w:lang w:val="en-US" w:eastAsia="en-PH"/>
              </w:rPr>
              <w:t>fixed home loan interest rates for new business</w:t>
            </w:r>
          </w:p>
          <w:p w14:paraId="7A4EEE40" w14:textId="71EEC471" w:rsidR="009833A1" w:rsidRPr="00B833FE" w:rsidRDefault="009833A1" w:rsidP="0046308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 w:rsidRPr="009833A1">
              <w:rPr>
                <w:rFonts w:ascii="Calibri" w:eastAsia="Times New Roman" w:hAnsi="Calibri" w:cs="Calibri"/>
                <w:lang w:val="en-US" w:eastAsia="en-PH"/>
              </w:rPr>
              <w:t>No changes to variable rates</w:t>
            </w:r>
          </w:p>
        </w:tc>
      </w:tr>
      <w:tr w:rsidR="00D82E2A" w:rsidRPr="007F63CF" w14:paraId="26C7F5D6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BDC56" w14:textId="460E6E3F" w:rsidR="00D82E2A" w:rsidRPr="007F63CF" w:rsidRDefault="00DE24BD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A092D3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B48FC" w14:textId="77777777" w:rsidR="00D82E2A" w:rsidRDefault="006D565D" w:rsidP="00CD0E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D565D">
              <w:rPr>
                <w:rFonts w:ascii="Calibri" w:eastAsia="Times New Roman" w:hAnsi="Calibri" w:cs="Calibri"/>
                <w:b/>
                <w:bCs/>
                <w:lang w:eastAsia="en-PH"/>
              </w:rPr>
              <w:t>Valuation Strategy Update</w:t>
            </w:r>
          </w:p>
          <w:p w14:paraId="392DA2B6" w14:textId="73031E61" w:rsidR="00F71C28" w:rsidRPr="009E0577" w:rsidRDefault="009E0577" w:rsidP="00F71C2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E0577">
              <w:rPr>
                <w:rFonts w:ascii="Calibri" w:eastAsia="Times New Roman" w:hAnsi="Calibri" w:cs="Calibri"/>
                <w:lang w:eastAsia="en-PH"/>
              </w:rPr>
              <w:t xml:space="preserve">Revision of postcode classification list and an update of the credit policy to increase the </w:t>
            </w:r>
            <w:r w:rsidR="00922593" w:rsidRPr="009E0577">
              <w:rPr>
                <w:rFonts w:ascii="Calibri" w:eastAsia="Times New Roman" w:hAnsi="Calibri" w:cs="Calibri"/>
                <w:lang w:eastAsia="en-PH"/>
              </w:rPr>
              <w:t>maximum-security</w:t>
            </w:r>
            <w:r w:rsidRPr="009E0577">
              <w:rPr>
                <w:rFonts w:ascii="Calibri" w:eastAsia="Times New Roman" w:hAnsi="Calibri" w:cs="Calibri"/>
                <w:lang w:eastAsia="en-PH"/>
              </w:rPr>
              <w:t xml:space="preserve"> values available for desktop valuations</w:t>
            </w:r>
          </w:p>
        </w:tc>
      </w:tr>
      <w:tr w:rsidR="00D82E2A" w:rsidRPr="007F63CF" w14:paraId="1A6C1A49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D3170" w14:textId="5DA8DCDA" w:rsidR="00D82E2A" w:rsidRPr="007F63CF" w:rsidRDefault="00B064E3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9FE7C45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908AEF" w14:textId="77777777" w:rsidR="00D82E2A" w:rsidRDefault="00B064E3" w:rsidP="00B064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 Changes</w:t>
            </w:r>
          </w:p>
          <w:p w14:paraId="02F209BC" w14:textId="54C7F416" w:rsidR="00B064E3" w:rsidRPr="00B064E3" w:rsidRDefault="0037004B" w:rsidP="00B064E3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Changes to the Basic Home Loan Lending product for both (&gt;60%-90% and &lt;60% LVR)</w:t>
            </w:r>
          </w:p>
        </w:tc>
      </w:tr>
      <w:tr w:rsidR="00D82E2A" w:rsidRPr="007F63CF" w14:paraId="5FA53332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923B6" w14:textId="66E7EAD6" w:rsidR="00D82E2A" w:rsidRPr="007F63CF" w:rsidRDefault="00B83C1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B1BC8A5" w14:textId="77777777" w:rsidR="00D82E2A" w:rsidRPr="007F63CF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226129" w14:textId="77777777" w:rsidR="00D82E2A" w:rsidRDefault="007541C2" w:rsidP="00D83A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E</w:t>
            </w:r>
            <w:r w:rsidRPr="007541C2">
              <w:rPr>
                <w:rFonts w:ascii="Calibri" w:eastAsia="Times New Roman" w:hAnsi="Calibri" w:cs="Calibri"/>
                <w:b/>
                <w:bCs/>
                <w:lang w:eastAsia="en-PH"/>
              </w:rPr>
              <w:t>xten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sion of</w:t>
            </w:r>
            <w:r w:rsidRPr="007541C2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commercial interest rate promotion</w:t>
            </w:r>
          </w:p>
          <w:p w14:paraId="23ED3F61" w14:textId="16CAEA35" w:rsidR="007541C2" w:rsidRPr="00AE3D34" w:rsidRDefault="00AE3D34" w:rsidP="007541C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E3D34">
              <w:rPr>
                <w:rFonts w:ascii="Calibri" w:eastAsia="Times New Roman" w:hAnsi="Calibri" w:cs="Calibri"/>
                <w:lang w:eastAsia="en-PH"/>
              </w:rPr>
              <w:t>Brokers can continue to access reduced rates across commercial loans until 14 November 2021</w:t>
            </w:r>
          </w:p>
        </w:tc>
      </w:tr>
      <w:tr w:rsidR="00D82E2A" w:rsidRPr="007F63CF" w14:paraId="5BA0900A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9DF87" w14:textId="0F01C890" w:rsidR="00D82E2A" w:rsidRPr="007F63CF" w:rsidRDefault="009071D3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4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2F11A22" w14:textId="77777777" w:rsidR="00D82E2A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 xml:space="preserve">St. George, Bank of Melbourne, </w:t>
            </w: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BankSA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53D70" w14:textId="38A36DFD" w:rsidR="00D82E2A" w:rsidRDefault="004A1771" w:rsidP="00BB4A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D</w:t>
            </w:r>
            <w:r w:rsidRPr="004A1771">
              <w:rPr>
                <w:rFonts w:ascii="Calibri" w:eastAsia="Times New Roman" w:hAnsi="Calibri" w:cs="Calibri"/>
                <w:b/>
                <w:bCs/>
                <w:lang w:eastAsia="en-PH"/>
              </w:rPr>
              <w:t>ecrease to Basic Home Loan promotional rate by increasing the promotional discount</w:t>
            </w:r>
          </w:p>
          <w:p w14:paraId="70BF4691" w14:textId="093A2CA4" w:rsidR="006B26C3" w:rsidRDefault="006B26C3" w:rsidP="006B26C3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Decrease in Basic Rates</w:t>
            </w:r>
          </w:p>
          <w:p w14:paraId="223058DC" w14:textId="77777777" w:rsidR="004A1771" w:rsidRPr="001B6D74" w:rsidRDefault="00CE6BB7" w:rsidP="001B6D74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B6D74">
              <w:rPr>
                <w:rFonts w:ascii="Calibri" w:eastAsia="Times New Roman" w:hAnsi="Calibri" w:cs="Calibri"/>
                <w:lang w:eastAsia="en-PH"/>
              </w:rPr>
              <w:t xml:space="preserve">Reduction of the Basic Home Loan Owner Occupier (Principal &amp; Interest repayments) and Residential Investment (Principal &amp; Interest repayments and Interest Only repayments) promotional </w:t>
            </w:r>
            <w:r w:rsidRPr="001B6D74">
              <w:rPr>
                <w:rFonts w:ascii="Calibri" w:eastAsia="Times New Roman" w:hAnsi="Calibri" w:cs="Calibri"/>
                <w:lang w:eastAsia="en-PH"/>
              </w:rPr>
              <w:lastRenderedPageBreak/>
              <w:t>rate by 0.10% p.a. by increasing the promotional discount.</w:t>
            </w:r>
          </w:p>
          <w:p w14:paraId="66555E1D" w14:textId="77777777" w:rsidR="00CE6BB7" w:rsidRDefault="00325518" w:rsidP="004A177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Increase in Fixed Rates</w:t>
            </w:r>
          </w:p>
          <w:p w14:paraId="2AD0B65D" w14:textId="5575F7DB" w:rsidR="00E979F9" w:rsidRPr="000A73B5" w:rsidRDefault="00E979F9" w:rsidP="00E979F9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Increasing 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2-year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, 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3-year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>, 4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-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>year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,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 and 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5-year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 Fixed Rate Home Loans for Owner Occupier with Principal &amp; Interest repayments.</w:t>
            </w:r>
          </w:p>
          <w:p w14:paraId="77CE1977" w14:textId="77777777" w:rsidR="00325518" w:rsidRPr="00F02338" w:rsidRDefault="00E979F9" w:rsidP="000A73B5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Increasing 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3-year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>, 4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-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>year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,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 and </w:t>
            </w:r>
            <w:r w:rsidR="000A73B5" w:rsidRPr="000A73B5">
              <w:rPr>
                <w:rFonts w:ascii="Calibri" w:eastAsia="Times New Roman" w:hAnsi="Calibri" w:cs="Calibri"/>
                <w:lang w:eastAsia="en-PH"/>
              </w:rPr>
              <w:t>5-year</w:t>
            </w:r>
            <w:r w:rsidRPr="000A73B5">
              <w:rPr>
                <w:rFonts w:ascii="Calibri" w:eastAsia="Times New Roman" w:hAnsi="Calibri" w:cs="Calibri"/>
                <w:lang w:eastAsia="en-PH"/>
              </w:rPr>
              <w:t xml:space="preserve"> Fixed Rate Home Loans for Investment Property Loans with Principal &amp; Interest repayments and Interest Only repayments.</w:t>
            </w:r>
          </w:p>
          <w:p w14:paraId="72A9790F" w14:textId="77777777" w:rsidR="00F02338" w:rsidRDefault="00F02338" w:rsidP="00F0233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5838C69F" w14:textId="7C52594F" w:rsidR="00377F2C" w:rsidRDefault="00377F2C" w:rsidP="00F0233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DF52A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St. George Updates</w:t>
            </w:r>
          </w:p>
          <w:p w14:paraId="3E6EF012" w14:textId="063700E3" w:rsidR="00377F2C" w:rsidRDefault="00377F2C" w:rsidP="00F0233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9" w:history="1">
              <w:r w:rsidRPr="00DF52A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 of Melbourne Updates</w:t>
            </w:r>
          </w:p>
          <w:p w14:paraId="468446E5" w14:textId="2DBA06D7" w:rsidR="00377F2C" w:rsidRPr="00F02338" w:rsidRDefault="00377F2C" w:rsidP="00F0233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0" w:history="1">
              <w:r w:rsidRPr="00DF52A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BankSA</w:t>
            </w:r>
            <w:proofErr w:type="spellEnd"/>
            <w:r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</w:p>
        </w:tc>
      </w:tr>
      <w:tr w:rsidR="00D82E2A" w:rsidRPr="007F63CF" w14:paraId="5C67E640" w14:textId="77777777" w:rsidTr="002C29B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5F489" w14:textId="2EE1C03B" w:rsidR="00D82E2A" w:rsidRDefault="00C1693F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lastRenderedPageBreak/>
              <w:t>4 – Nov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2EE62" w14:textId="77777777" w:rsidR="00D82E2A" w:rsidRDefault="00D82E2A" w:rsidP="002C29B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CE320" w14:textId="77777777" w:rsidR="00D82E2A" w:rsidRDefault="009E2683" w:rsidP="009E26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E2683">
              <w:rPr>
                <w:rFonts w:ascii="Calibri" w:eastAsia="Times New Roman" w:hAnsi="Calibri" w:cs="Calibri"/>
                <w:b/>
                <w:bCs/>
                <w:lang w:eastAsia="en-PH"/>
              </w:rPr>
              <w:t>Rate changes</w:t>
            </w:r>
          </w:p>
          <w:p w14:paraId="02E665C5" w14:textId="77777777" w:rsidR="00615AD0" w:rsidRDefault="00CE1F24" w:rsidP="00615AD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E1F24">
              <w:rPr>
                <w:rFonts w:ascii="Calibri" w:eastAsia="Times New Roman" w:hAnsi="Calibri" w:cs="Calibri"/>
                <w:lang w:eastAsia="en-PH"/>
              </w:rPr>
              <w:t xml:space="preserve">Increasing the </w:t>
            </w:r>
            <w:r w:rsidR="00E1133E" w:rsidRPr="00CE1F24">
              <w:rPr>
                <w:rFonts w:ascii="Calibri" w:eastAsia="Times New Roman" w:hAnsi="Calibri" w:cs="Calibri"/>
                <w:lang w:eastAsia="en-PH"/>
              </w:rPr>
              <w:t>3-year</w:t>
            </w:r>
            <w:r w:rsidRPr="00CE1F24">
              <w:rPr>
                <w:rFonts w:ascii="Calibri" w:eastAsia="Times New Roman" w:hAnsi="Calibri" w:cs="Calibri"/>
                <w:lang w:eastAsia="en-PH"/>
              </w:rPr>
              <w:t>, 4</w:t>
            </w:r>
            <w:r w:rsidR="00E1133E">
              <w:rPr>
                <w:rFonts w:ascii="Calibri" w:eastAsia="Times New Roman" w:hAnsi="Calibri" w:cs="Calibri"/>
                <w:lang w:eastAsia="en-PH"/>
              </w:rPr>
              <w:t>-</w:t>
            </w:r>
            <w:r w:rsidRPr="00CE1F24">
              <w:rPr>
                <w:rFonts w:ascii="Calibri" w:eastAsia="Times New Roman" w:hAnsi="Calibri" w:cs="Calibri"/>
                <w:lang w:eastAsia="en-PH"/>
              </w:rPr>
              <w:t>year</w:t>
            </w:r>
            <w:r w:rsidR="00E1133E">
              <w:rPr>
                <w:rFonts w:ascii="Calibri" w:eastAsia="Times New Roman" w:hAnsi="Calibri" w:cs="Calibri"/>
                <w:lang w:eastAsia="en-PH"/>
              </w:rPr>
              <w:t>,</w:t>
            </w:r>
            <w:r w:rsidRPr="00CE1F24">
              <w:rPr>
                <w:rFonts w:ascii="Calibri" w:eastAsia="Times New Roman" w:hAnsi="Calibri" w:cs="Calibri"/>
                <w:lang w:eastAsia="en-PH"/>
              </w:rPr>
              <w:t xml:space="preserve"> and 5</w:t>
            </w:r>
            <w:r w:rsidR="00E1133E">
              <w:rPr>
                <w:rFonts w:ascii="Calibri" w:eastAsia="Times New Roman" w:hAnsi="Calibri" w:cs="Calibri"/>
                <w:lang w:eastAsia="en-PH"/>
              </w:rPr>
              <w:t>-</w:t>
            </w:r>
            <w:r w:rsidRPr="00CE1F24">
              <w:rPr>
                <w:rFonts w:ascii="Calibri" w:eastAsia="Times New Roman" w:hAnsi="Calibri" w:cs="Calibri"/>
                <w:lang w:eastAsia="en-PH"/>
              </w:rPr>
              <w:t>year fixed interest rates for Owner Occupier with Principal &amp; Interest repayments and Investment Property Loans with both Principal &amp; Interest repayments and Interest Only repayments.</w:t>
            </w:r>
          </w:p>
          <w:p w14:paraId="0AB673F9" w14:textId="77777777" w:rsidR="006B2ADE" w:rsidRDefault="006B2ADE" w:rsidP="006B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2F2FEB70" w14:textId="35ECF5B6" w:rsidR="006B2ADE" w:rsidRPr="006B2ADE" w:rsidRDefault="006B2ADE" w:rsidP="006B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1" w:history="1">
              <w:r w:rsidRPr="00DF52A1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Westpac Updates</w:t>
            </w:r>
          </w:p>
        </w:tc>
      </w:tr>
    </w:tbl>
    <w:p w14:paraId="18F918CB" w14:textId="77777777" w:rsidR="00D82E2A" w:rsidRPr="007F63CF" w:rsidRDefault="00D82E2A" w:rsidP="00D82E2A"/>
    <w:p w14:paraId="03B290AB" w14:textId="77777777" w:rsidR="00334BB7" w:rsidRDefault="00334BB7"/>
    <w:sectPr w:rsidR="0033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2425"/>
    <w:multiLevelType w:val="hybridMultilevel"/>
    <w:tmpl w:val="D1C06C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C0476"/>
    <w:multiLevelType w:val="hybridMultilevel"/>
    <w:tmpl w:val="AA54C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172EF"/>
    <w:multiLevelType w:val="hybridMultilevel"/>
    <w:tmpl w:val="0C1E3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1FAC"/>
    <w:multiLevelType w:val="hybridMultilevel"/>
    <w:tmpl w:val="9F38A2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124B2"/>
    <w:multiLevelType w:val="hybridMultilevel"/>
    <w:tmpl w:val="F17230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2A"/>
    <w:rsid w:val="00032296"/>
    <w:rsid w:val="00040083"/>
    <w:rsid w:val="000909CF"/>
    <w:rsid w:val="00097CF0"/>
    <w:rsid w:val="000A73B5"/>
    <w:rsid w:val="000A758A"/>
    <w:rsid w:val="000E5A4C"/>
    <w:rsid w:val="000F1818"/>
    <w:rsid w:val="00140E11"/>
    <w:rsid w:val="00141B9C"/>
    <w:rsid w:val="00164437"/>
    <w:rsid w:val="001B6D74"/>
    <w:rsid w:val="001D58E0"/>
    <w:rsid w:val="001E6234"/>
    <w:rsid w:val="001F1755"/>
    <w:rsid w:val="002067DB"/>
    <w:rsid w:val="0024499B"/>
    <w:rsid w:val="002551D1"/>
    <w:rsid w:val="00296A9E"/>
    <w:rsid w:val="002A15B0"/>
    <w:rsid w:val="00325518"/>
    <w:rsid w:val="00334BB7"/>
    <w:rsid w:val="00364767"/>
    <w:rsid w:val="0037004B"/>
    <w:rsid w:val="00377F2C"/>
    <w:rsid w:val="00394548"/>
    <w:rsid w:val="003B2ACD"/>
    <w:rsid w:val="003E5493"/>
    <w:rsid w:val="003E6CDE"/>
    <w:rsid w:val="00410159"/>
    <w:rsid w:val="00415630"/>
    <w:rsid w:val="0042487B"/>
    <w:rsid w:val="00431AC0"/>
    <w:rsid w:val="00443A36"/>
    <w:rsid w:val="00461F92"/>
    <w:rsid w:val="0046308E"/>
    <w:rsid w:val="00471CCD"/>
    <w:rsid w:val="004811B5"/>
    <w:rsid w:val="00482BE2"/>
    <w:rsid w:val="004874FD"/>
    <w:rsid w:val="0049136E"/>
    <w:rsid w:val="004A1771"/>
    <w:rsid w:val="00501FB9"/>
    <w:rsid w:val="00551278"/>
    <w:rsid w:val="005952B4"/>
    <w:rsid w:val="00597826"/>
    <w:rsid w:val="005B20C3"/>
    <w:rsid w:val="005E5320"/>
    <w:rsid w:val="00605249"/>
    <w:rsid w:val="00615AD0"/>
    <w:rsid w:val="0062479B"/>
    <w:rsid w:val="006509F0"/>
    <w:rsid w:val="006955A8"/>
    <w:rsid w:val="006B26C3"/>
    <w:rsid w:val="006B2ADE"/>
    <w:rsid w:val="006C2684"/>
    <w:rsid w:val="006C4428"/>
    <w:rsid w:val="006D565D"/>
    <w:rsid w:val="006E3F32"/>
    <w:rsid w:val="007150B3"/>
    <w:rsid w:val="00737CA4"/>
    <w:rsid w:val="00745E90"/>
    <w:rsid w:val="007541C2"/>
    <w:rsid w:val="00772175"/>
    <w:rsid w:val="00784945"/>
    <w:rsid w:val="00793C73"/>
    <w:rsid w:val="007B3CD0"/>
    <w:rsid w:val="007E20E6"/>
    <w:rsid w:val="007F2BA5"/>
    <w:rsid w:val="00801149"/>
    <w:rsid w:val="0081077A"/>
    <w:rsid w:val="00813E57"/>
    <w:rsid w:val="008147F0"/>
    <w:rsid w:val="008D5002"/>
    <w:rsid w:val="008E632D"/>
    <w:rsid w:val="008F5CE7"/>
    <w:rsid w:val="009004F4"/>
    <w:rsid w:val="00902475"/>
    <w:rsid w:val="00906541"/>
    <w:rsid w:val="009071D3"/>
    <w:rsid w:val="00912E7B"/>
    <w:rsid w:val="00922593"/>
    <w:rsid w:val="00922E95"/>
    <w:rsid w:val="00926E6E"/>
    <w:rsid w:val="0094363A"/>
    <w:rsid w:val="00946030"/>
    <w:rsid w:val="009833A1"/>
    <w:rsid w:val="009A13B6"/>
    <w:rsid w:val="009C6CA5"/>
    <w:rsid w:val="009E0577"/>
    <w:rsid w:val="009E2683"/>
    <w:rsid w:val="00A2140B"/>
    <w:rsid w:val="00A26568"/>
    <w:rsid w:val="00A37E9D"/>
    <w:rsid w:val="00A40DA3"/>
    <w:rsid w:val="00A50416"/>
    <w:rsid w:val="00A6530E"/>
    <w:rsid w:val="00AC2F02"/>
    <w:rsid w:val="00AC6793"/>
    <w:rsid w:val="00AE3D34"/>
    <w:rsid w:val="00AE5387"/>
    <w:rsid w:val="00AF19BD"/>
    <w:rsid w:val="00B064E3"/>
    <w:rsid w:val="00B12248"/>
    <w:rsid w:val="00B147A2"/>
    <w:rsid w:val="00B833FE"/>
    <w:rsid w:val="00B83C1A"/>
    <w:rsid w:val="00B96500"/>
    <w:rsid w:val="00BB4A84"/>
    <w:rsid w:val="00BC693F"/>
    <w:rsid w:val="00BD73C3"/>
    <w:rsid w:val="00BE0999"/>
    <w:rsid w:val="00C10323"/>
    <w:rsid w:val="00C13CB6"/>
    <w:rsid w:val="00C164B8"/>
    <w:rsid w:val="00C1693F"/>
    <w:rsid w:val="00C42373"/>
    <w:rsid w:val="00C43824"/>
    <w:rsid w:val="00C50D4A"/>
    <w:rsid w:val="00C52C0D"/>
    <w:rsid w:val="00C60008"/>
    <w:rsid w:val="00CB4066"/>
    <w:rsid w:val="00CD0E9B"/>
    <w:rsid w:val="00CD160F"/>
    <w:rsid w:val="00CE1F24"/>
    <w:rsid w:val="00CE2B8A"/>
    <w:rsid w:val="00CE6BB7"/>
    <w:rsid w:val="00D179D1"/>
    <w:rsid w:val="00D82E2A"/>
    <w:rsid w:val="00D83A46"/>
    <w:rsid w:val="00DE24BD"/>
    <w:rsid w:val="00DF1DF1"/>
    <w:rsid w:val="00DF52A1"/>
    <w:rsid w:val="00E1133E"/>
    <w:rsid w:val="00E30E34"/>
    <w:rsid w:val="00E47275"/>
    <w:rsid w:val="00E6684D"/>
    <w:rsid w:val="00E979F9"/>
    <w:rsid w:val="00EA18C2"/>
    <w:rsid w:val="00EB47B3"/>
    <w:rsid w:val="00EB5CAF"/>
    <w:rsid w:val="00EC668A"/>
    <w:rsid w:val="00EF36D7"/>
    <w:rsid w:val="00F02338"/>
    <w:rsid w:val="00F05F4A"/>
    <w:rsid w:val="00F14DF3"/>
    <w:rsid w:val="00F25EED"/>
    <w:rsid w:val="00F457A9"/>
    <w:rsid w:val="00F71C28"/>
    <w:rsid w:val="00F77973"/>
    <w:rsid w:val="00F77F0A"/>
    <w:rsid w:val="00F84FF3"/>
    <w:rsid w:val="00FC67C7"/>
    <w:rsid w:val="00FC7B54"/>
    <w:rsid w:val="00FD2866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CFDC"/>
  <w15:chartTrackingRefBased/>
  <w15:docId w15:val="{B54224B3-D583-4775-BEEE-AFD2936F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mc.stgeorge.com.au/?qs=43042469f34858a4c87d9c8c37266dd3f1a0825f6d068985771b8e08b685b9b6b652acffd60ff5132ec613f96209aa29d7e3b44ab9c73bef133e7f9f6bf2583bd2e58d52c2bfdd5525a68ba8008583d8478f17f2cf8444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mms.cba.com.au/rv/ff00853286efbf32ad31b13f1a448c85423e24b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edm.bankwest.com.au/?qs=7a937cc38c1f1fe48226f2b58720f2b578546d0cbddc3785a59efea621241f2cc39a9ee6da6abdc4f475f33accce3118ec32df5d03d4897200fc85ad25161468cdfdc115acbaf18f" TargetMode="External"/><Relationship Id="rId11" Type="http://schemas.openxmlformats.org/officeDocument/2006/relationships/hyperlink" Target="https://view.mc.westpac.com.au/?qs=c5c3366d131ada9e4ca044d539e0f385a15abafc15d38561ddccd4ba3ef612773e335fe57f9c52fc3b086878c89f4b8de817dcbdf147b91e0474fc33247fdc487b4df18cfd31fcf22b5267058c7457f1" TargetMode="External"/><Relationship Id="rId5" Type="http://schemas.openxmlformats.org/officeDocument/2006/relationships/hyperlink" Target="https://app.vision6.com.au/v/7253/1779077817/email.html?k=eyDfGjhXV1lsmkgPOv8cHEE640Rabn4qNSu3LAie42Q" TargetMode="External"/><Relationship Id="rId10" Type="http://schemas.openxmlformats.org/officeDocument/2006/relationships/hyperlink" Target="https://view.mc.banksa.com.au/?qs=43042469f34858a419228c2d92ec917069578f744d8a26f3a923430f3b9609591caeafb3844088a5b8daecca20efc1888b1fb35b54d15fc696248ee7a9234181ddfebc299d5d1c5dd1028443f3b8a0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w.mc.bankofmelbourne.com.au/?qs=43042469f34858a41e3a537756e20bf0f97a69acb3ae23a5a59cf3d6a6470278c1e4c6216a061632e4eeb80599c8de7b023bbb58b2b429f195bf73684c7ddc12d639891673c376c695c3827fee03916143d6ffbdd4bd67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Buen</dc:creator>
  <cp:keywords/>
  <dc:description/>
  <cp:lastModifiedBy>Ralph Buen</cp:lastModifiedBy>
  <cp:revision>161</cp:revision>
  <dcterms:created xsi:type="dcterms:W3CDTF">2021-11-01T00:52:00Z</dcterms:created>
  <dcterms:modified xsi:type="dcterms:W3CDTF">2021-11-05T02:40:00Z</dcterms:modified>
</cp:coreProperties>
</file>