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0" w:type="dxa"/>
          <w:right w:w="0" w:type="dxa"/>
        </w:tblCellMar>
        <w:tblLook w:val="04A0" w:firstRow="1" w:lastRow="0" w:firstColumn="1" w:lastColumn="0" w:noHBand="0" w:noVBand="1"/>
      </w:tblPr>
      <w:tblGrid>
        <w:gridCol w:w="9360"/>
      </w:tblGrid>
      <w:tr w:rsidR="004C7A8A" w14:paraId="6990AC92" w14:textId="77777777" w:rsidTr="004C7A8A">
        <w:trPr>
          <w:jc w:val="center"/>
        </w:trPr>
        <w:tc>
          <w:tcPr>
            <w:tcW w:w="9780" w:type="dxa"/>
            <w:shd w:val="clear" w:color="auto" w:fill="FFFFFF"/>
            <w:hideMark/>
          </w:tcPr>
          <w:tbl>
            <w:tblPr>
              <w:tblW w:w="5598" w:type="pct"/>
              <w:tblCellMar>
                <w:left w:w="0" w:type="dxa"/>
                <w:right w:w="0" w:type="dxa"/>
              </w:tblCellMar>
              <w:tblLook w:val="04A0" w:firstRow="1" w:lastRow="0" w:firstColumn="1" w:lastColumn="0" w:noHBand="0" w:noVBand="1"/>
            </w:tblPr>
            <w:tblGrid>
              <w:gridCol w:w="6748"/>
              <w:gridCol w:w="3731"/>
            </w:tblGrid>
            <w:tr w:rsidR="004C7A8A" w14:paraId="6C7A5484" w14:textId="77777777">
              <w:tc>
                <w:tcPr>
                  <w:tcW w:w="3220" w:type="pct"/>
                  <w:tcMar>
                    <w:top w:w="0" w:type="dxa"/>
                    <w:left w:w="108" w:type="dxa"/>
                    <w:bottom w:w="0" w:type="dxa"/>
                    <w:right w:w="108" w:type="dxa"/>
                  </w:tcMar>
                  <w:vAlign w:val="center"/>
                  <w:hideMark/>
                </w:tcPr>
                <w:p w14:paraId="42F093E9" w14:textId="77777777" w:rsidR="004C7A8A" w:rsidRDefault="004C7A8A"/>
              </w:tc>
              <w:tc>
                <w:tcPr>
                  <w:tcW w:w="1780" w:type="pct"/>
                  <w:tcMar>
                    <w:top w:w="0" w:type="dxa"/>
                    <w:left w:w="108" w:type="dxa"/>
                    <w:bottom w:w="0" w:type="dxa"/>
                    <w:right w:w="108" w:type="dxa"/>
                  </w:tcMar>
                  <w:vAlign w:val="center"/>
                  <w:hideMark/>
                </w:tcPr>
                <w:p w14:paraId="22673573" w14:textId="77777777" w:rsidR="004C7A8A" w:rsidRDefault="004C7A8A">
                  <w:pPr>
                    <w:rPr>
                      <w:rFonts w:ascii="Times New Roman" w:eastAsia="Times New Roman" w:hAnsi="Times New Roman" w:cs="Times New Roman"/>
                      <w:sz w:val="20"/>
                      <w:szCs w:val="20"/>
                      <w:lang w:eastAsia="en-PH"/>
                    </w:rPr>
                  </w:pPr>
                </w:p>
              </w:tc>
            </w:tr>
          </w:tbl>
          <w:tbl>
            <w:tblPr>
              <w:tblpPr w:leftFromText="180" w:rightFromText="180" w:vertAnchor="text"/>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6"/>
              <w:gridCol w:w="1939"/>
              <w:gridCol w:w="5879"/>
            </w:tblGrid>
            <w:tr w:rsidR="004C7A8A" w14:paraId="6DAB907F" w14:textId="77777777" w:rsidTr="004C7A8A">
              <w:tc>
                <w:tcPr>
                  <w:tcW w:w="1526" w:type="dxa"/>
                  <w:tcBorders>
                    <w:top w:val="single" w:sz="8" w:space="0" w:color="000000"/>
                    <w:left w:val="single" w:sz="8" w:space="0" w:color="000000"/>
                    <w:bottom w:val="single" w:sz="8" w:space="0" w:color="000000"/>
                    <w:right w:val="single" w:sz="8" w:space="0" w:color="000000"/>
                  </w:tcBorders>
                  <w:hideMark/>
                </w:tcPr>
                <w:p w14:paraId="782356BF" w14:textId="77777777" w:rsidR="004C7A8A" w:rsidRDefault="004C7A8A">
                  <w:pPr>
                    <w:jc w:val="center"/>
                    <w:textAlignment w:val="baseline"/>
                    <w:rPr>
                      <w:lang w:eastAsia="en-PH"/>
                    </w:rPr>
                  </w:pPr>
                  <w:r>
                    <w:rPr>
                      <w:b/>
                      <w:bCs/>
                      <w:lang w:val="en-AU" w:eastAsia="en-PH"/>
                    </w:rPr>
                    <w:t>Effective Date</w:t>
                  </w:r>
                  <w:r>
                    <w:rPr>
                      <w:lang w:val="en-US" w:eastAsia="en-PH"/>
                    </w:rPr>
                    <w:t> </w:t>
                  </w:r>
                  <w:r>
                    <w:rPr>
                      <w:lang w:eastAsia="en-PH"/>
                    </w:rPr>
                    <w:t> </w:t>
                  </w:r>
                </w:p>
              </w:tc>
              <w:tc>
                <w:tcPr>
                  <w:tcW w:w="1939" w:type="dxa"/>
                  <w:tcBorders>
                    <w:top w:val="single" w:sz="8" w:space="0" w:color="000000"/>
                    <w:left w:val="nil"/>
                    <w:bottom w:val="single" w:sz="8" w:space="0" w:color="000000"/>
                    <w:right w:val="single" w:sz="8" w:space="0" w:color="000000"/>
                  </w:tcBorders>
                  <w:hideMark/>
                </w:tcPr>
                <w:p w14:paraId="7EC3DD49" w14:textId="77777777" w:rsidR="004C7A8A" w:rsidRDefault="004C7A8A">
                  <w:pPr>
                    <w:jc w:val="center"/>
                    <w:textAlignment w:val="baseline"/>
                    <w:rPr>
                      <w:lang w:eastAsia="en-PH"/>
                    </w:rPr>
                  </w:pPr>
                  <w:r>
                    <w:rPr>
                      <w:b/>
                      <w:bCs/>
                      <w:lang w:val="en-AU" w:eastAsia="en-PH"/>
                    </w:rPr>
                    <w:t>Lender</w:t>
                  </w:r>
                  <w:r>
                    <w:rPr>
                      <w:lang w:val="en-US" w:eastAsia="en-PH"/>
                    </w:rPr>
                    <w:t> </w:t>
                  </w:r>
                  <w:r>
                    <w:rPr>
                      <w:lang w:eastAsia="en-PH"/>
                    </w:rPr>
                    <w:t> </w:t>
                  </w:r>
                </w:p>
                <w:p w14:paraId="3B0D3C1F" w14:textId="77777777" w:rsidR="004C7A8A" w:rsidRDefault="004C7A8A">
                  <w:pPr>
                    <w:jc w:val="center"/>
                    <w:textAlignment w:val="baseline"/>
                    <w:rPr>
                      <w:lang w:eastAsia="en-PH"/>
                    </w:rPr>
                  </w:pPr>
                  <w:r>
                    <w:rPr>
                      <w:lang w:val="en-US" w:eastAsia="en-PH"/>
                    </w:rPr>
                    <w:t> </w:t>
                  </w:r>
                  <w:r>
                    <w:rPr>
                      <w:lang w:eastAsia="en-PH"/>
                    </w:rPr>
                    <w:t> </w:t>
                  </w:r>
                </w:p>
              </w:tc>
              <w:tc>
                <w:tcPr>
                  <w:tcW w:w="5879" w:type="dxa"/>
                  <w:tcBorders>
                    <w:top w:val="single" w:sz="8" w:space="0" w:color="000000"/>
                    <w:left w:val="nil"/>
                    <w:bottom w:val="single" w:sz="8" w:space="0" w:color="000000"/>
                    <w:right w:val="single" w:sz="8" w:space="0" w:color="000000"/>
                  </w:tcBorders>
                  <w:hideMark/>
                </w:tcPr>
                <w:p w14:paraId="05C83BD2" w14:textId="77777777" w:rsidR="004C7A8A" w:rsidRDefault="004C7A8A">
                  <w:pPr>
                    <w:jc w:val="center"/>
                    <w:textAlignment w:val="baseline"/>
                    <w:rPr>
                      <w:lang w:eastAsia="en-PH"/>
                    </w:rPr>
                  </w:pPr>
                  <w:r>
                    <w:rPr>
                      <w:b/>
                      <w:bCs/>
                      <w:lang w:val="en-AU" w:eastAsia="en-PH"/>
                    </w:rPr>
                    <w:t>Summary</w:t>
                  </w:r>
                  <w:r>
                    <w:rPr>
                      <w:lang w:val="en-US" w:eastAsia="en-PH"/>
                    </w:rPr>
                    <w:t> </w:t>
                  </w:r>
                  <w:r>
                    <w:rPr>
                      <w:lang w:eastAsia="en-PH"/>
                    </w:rPr>
                    <w:t> </w:t>
                  </w:r>
                </w:p>
              </w:tc>
            </w:tr>
            <w:tr w:rsidR="004C7A8A" w14:paraId="16A8862C" w14:textId="77777777" w:rsidTr="004C7A8A">
              <w:tc>
                <w:tcPr>
                  <w:tcW w:w="1526" w:type="dxa"/>
                  <w:tcBorders>
                    <w:top w:val="nil"/>
                    <w:left w:val="single" w:sz="8" w:space="0" w:color="000000"/>
                    <w:bottom w:val="single" w:sz="8" w:space="0" w:color="000000"/>
                    <w:right w:val="single" w:sz="8" w:space="0" w:color="000000"/>
                  </w:tcBorders>
                  <w:hideMark/>
                </w:tcPr>
                <w:p w14:paraId="69D35497" w14:textId="77777777" w:rsidR="004C7A8A" w:rsidRDefault="004C7A8A">
                  <w:pPr>
                    <w:jc w:val="center"/>
                    <w:textAlignment w:val="baseline"/>
                    <w:rPr>
                      <w:lang w:eastAsia="en-PH"/>
                    </w:rPr>
                  </w:pPr>
                  <w:r>
                    <w:rPr>
                      <w:lang w:eastAsia="en-PH"/>
                    </w:rPr>
                    <w:t>21 – Oct</w:t>
                  </w:r>
                </w:p>
              </w:tc>
              <w:tc>
                <w:tcPr>
                  <w:tcW w:w="1939" w:type="dxa"/>
                  <w:vMerge w:val="restart"/>
                  <w:tcBorders>
                    <w:top w:val="nil"/>
                    <w:left w:val="nil"/>
                    <w:bottom w:val="single" w:sz="8" w:space="0" w:color="000000"/>
                    <w:right w:val="single" w:sz="8" w:space="0" w:color="000000"/>
                  </w:tcBorders>
                  <w:hideMark/>
                </w:tcPr>
                <w:p w14:paraId="6B6119D1" w14:textId="77777777" w:rsidR="004C7A8A" w:rsidRDefault="004C7A8A">
                  <w:pPr>
                    <w:jc w:val="center"/>
                    <w:textAlignment w:val="baseline"/>
                    <w:rPr>
                      <w:lang w:val="en-AU" w:eastAsia="en-PH"/>
                    </w:rPr>
                  </w:pPr>
                  <w:r>
                    <w:rPr>
                      <w:lang w:val="en-AU" w:eastAsia="en-PH"/>
                    </w:rPr>
                    <w:t>AMP</w:t>
                  </w:r>
                </w:p>
              </w:tc>
              <w:tc>
                <w:tcPr>
                  <w:tcW w:w="5879" w:type="dxa"/>
                  <w:tcBorders>
                    <w:top w:val="nil"/>
                    <w:left w:val="nil"/>
                    <w:bottom w:val="single" w:sz="8" w:space="0" w:color="000000"/>
                    <w:right w:val="single" w:sz="8" w:space="0" w:color="000000"/>
                  </w:tcBorders>
                  <w:hideMark/>
                </w:tcPr>
                <w:p w14:paraId="07285586" w14:textId="77777777" w:rsidR="004C7A8A" w:rsidRDefault="004C7A8A">
                  <w:pPr>
                    <w:pStyle w:val="ListParagraph"/>
                    <w:numPr>
                      <w:ilvl w:val="0"/>
                      <w:numId w:val="1"/>
                    </w:numPr>
                    <w:spacing w:after="0" w:line="240" w:lineRule="auto"/>
                    <w:textAlignment w:val="baseline"/>
                    <w:rPr>
                      <w:rFonts w:eastAsia="Times New Roman"/>
                      <w:lang w:eastAsia="en-PH"/>
                    </w:rPr>
                  </w:pPr>
                  <w:r>
                    <w:rPr>
                      <w:rFonts w:eastAsia="Times New Roman"/>
                      <w:b/>
                      <w:bCs/>
                      <w:lang w:eastAsia="en-PH"/>
                    </w:rPr>
                    <w:t>Updated Serviceability Calculator</w:t>
                  </w:r>
                </w:p>
                <w:p w14:paraId="3165AD0E" w14:textId="77777777" w:rsidR="004C7A8A" w:rsidRDefault="004C7A8A">
                  <w:pPr>
                    <w:pStyle w:val="ListParagraph"/>
                    <w:numPr>
                      <w:ilvl w:val="0"/>
                      <w:numId w:val="1"/>
                    </w:numPr>
                    <w:spacing w:after="0" w:line="240" w:lineRule="auto"/>
                    <w:textAlignment w:val="baseline"/>
                    <w:rPr>
                      <w:rFonts w:eastAsia="Times New Roman"/>
                      <w:lang w:eastAsia="en-PH"/>
                    </w:rPr>
                  </w:pPr>
                  <w:r>
                    <w:rPr>
                      <w:rFonts w:eastAsia="Times New Roman"/>
                      <w:b/>
                      <w:bCs/>
                      <w:lang w:eastAsia="en-PH"/>
                    </w:rPr>
                    <w:t>Rate Changes</w:t>
                  </w:r>
                </w:p>
                <w:p w14:paraId="24ACAE7B" w14:textId="77777777" w:rsidR="004C7A8A" w:rsidRDefault="004C7A8A">
                  <w:pPr>
                    <w:pStyle w:val="ListParagraph"/>
                    <w:numPr>
                      <w:ilvl w:val="1"/>
                      <w:numId w:val="1"/>
                    </w:numPr>
                    <w:spacing w:after="0" w:line="240" w:lineRule="auto"/>
                    <w:textAlignment w:val="baseline"/>
                    <w:rPr>
                      <w:rFonts w:eastAsia="Times New Roman"/>
                      <w:lang w:eastAsia="en-PH"/>
                    </w:rPr>
                  </w:pPr>
                  <w:r>
                    <w:rPr>
                      <w:rFonts w:eastAsia="Times New Roman"/>
                      <w:lang w:eastAsia="en-PH"/>
                    </w:rPr>
                    <w:t>Rates for Professional Package 3-year fixed rate loan Owner Occupied Principal &amp; Interest $100k and greater has been updated</w:t>
                  </w:r>
                </w:p>
                <w:p w14:paraId="0FAE6799" w14:textId="77777777" w:rsidR="004C7A8A" w:rsidRDefault="004C7A8A">
                  <w:pPr>
                    <w:pStyle w:val="ListParagraph"/>
                    <w:numPr>
                      <w:ilvl w:val="1"/>
                      <w:numId w:val="1"/>
                    </w:numPr>
                    <w:spacing w:after="0" w:line="240" w:lineRule="auto"/>
                    <w:textAlignment w:val="baseline"/>
                    <w:rPr>
                      <w:rFonts w:eastAsia="Times New Roman"/>
                      <w:lang w:eastAsia="en-PH"/>
                    </w:rPr>
                  </w:pPr>
                  <w:r>
                    <w:rPr>
                      <w:rFonts w:eastAsia="Times New Roman"/>
                      <w:lang w:eastAsia="en-PH"/>
                    </w:rPr>
                    <w:t>Rates for Basic Package 3-year fixed rate loan Owner Occupied Principal &amp; Interest $40k and greater has been updated</w:t>
                  </w:r>
                </w:p>
                <w:p w14:paraId="30C913ED" w14:textId="77777777" w:rsidR="004C7A8A" w:rsidRDefault="004C7A8A">
                  <w:pPr>
                    <w:pStyle w:val="ListParagraph"/>
                    <w:numPr>
                      <w:ilvl w:val="1"/>
                      <w:numId w:val="1"/>
                    </w:numPr>
                    <w:spacing w:after="0" w:line="240" w:lineRule="auto"/>
                    <w:textAlignment w:val="baseline"/>
                    <w:rPr>
                      <w:rFonts w:eastAsia="Times New Roman"/>
                      <w:lang w:eastAsia="en-PH"/>
                    </w:rPr>
                  </w:pPr>
                  <w:r>
                    <w:rPr>
                      <w:rFonts w:eastAsia="Times New Roman"/>
                      <w:lang w:eastAsia="en-PH"/>
                    </w:rPr>
                    <w:t>The existing assessment rates will apply for new and inflight applications submitted prior to 27 October 2021. For all new business, including increases and other variations, submitted from 27 October 2021, the updated assessment rates will apply.</w:t>
                  </w:r>
                </w:p>
                <w:p w14:paraId="2D0E3F8B" w14:textId="77777777" w:rsidR="004C7A8A" w:rsidRDefault="004C7A8A">
                  <w:pPr>
                    <w:pStyle w:val="ListParagraph"/>
                    <w:numPr>
                      <w:ilvl w:val="1"/>
                      <w:numId w:val="1"/>
                    </w:numPr>
                    <w:spacing w:after="0" w:line="240" w:lineRule="auto"/>
                    <w:textAlignment w:val="baseline"/>
                    <w:rPr>
                      <w:rFonts w:eastAsia="Times New Roman"/>
                      <w:lang w:eastAsia="en-PH"/>
                    </w:rPr>
                  </w:pPr>
                  <w:r>
                    <w:rPr>
                      <w:rFonts w:eastAsia="Times New Roman"/>
                      <w:lang w:eastAsia="en-PH"/>
                    </w:rPr>
                    <w:t>Where an existing pre-approval, conditional or unconditional approval expires and requires re-assessment from 27 October 2021, the updated assessment rates will apply.</w:t>
                  </w:r>
                </w:p>
              </w:tc>
            </w:tr>
            <w:tr w:rsidR="004C7A8A" w14:paraId="057AF3B4" w14:textId="77777777" w:rsidTr="004C7A8A">
              <w:tc>
                <w:tcPr>
                  <w:tcW w:w="1526" w:type="dxa"/>
                  <w:tcBorders>
                    <w:top w:val="nil"/>
                    <w:left w:val="single" w:sz="8" w:space="0" w:color="000000"/>
                    <w:bottom w:val="single" w:sz="8" w:space="0" w:color="000000"/>
                    <w:right w:val="single" w:sz="8" w:space="0" w:color="000000"/>
                  </w:tcBorders>
                  <w:hideMark/>
                </w:tcPr>
                <w:p w14:paraId="5A30152F" w14:textId="77777777" w:rsidR="004C7A8A" w:rsidRDefault="004C7A8A">
                  <w:pPr>
                    <w:jc w:val="center"/>
                    <w:textAlignment w:val="baseline"/>
                    <w:rPr>
                      <w:lang w:eastAsia="en-PH"/>
                    </w:rPr>
                  </w:pPr>
                  <w:r>
                    <w:rPr>
                      <w:lang w:eastAsia="en-PH"/>
                    </w:rPr>
                    <w:t>27 - Oct</w:t>
                  </w:r>
                </w:p>
              </w:tc>
              <w:tc>
                <w:tcPr>
                  <w:tcW w:w="0" w:type="auto"/>
                  <w:vMerge/>
                  <w:tcBorders>
                    <w:top w:val="nil"/>
                    <w:left w:val="nil"/>
                    <w:bottom w:val="single" w:sz="8" w:space="0" w:color="000000"/>
                    <w:right w:val="single" w:sz="8" w:space="0" w:color="000000"/>
                  </w:tcBorders>
                  <w:vAlign w:val="center"/>
                  <w:hideMark/>
                </w:tcPr>
                <w:p w14:paraId="01A985B1" w14:textId="77777777" w:rsidR="004C7A8A" w:rsidRDefault="004C7A8A">
                  <w:pPr>
                    <w:rPr>
                      <w:rFonts w:ascii="Calibri" w:hAnsi="Calibri" w:cs="Calibri"/>
                      <w:lang w:val="en-AU" w:eastAsia="en-PH"/>
                    </w:rPr>
                  </w:pPr>
                </w:p>
              </w:tc>
              <w:tc>
                <w:tcPr>
                  <w:tcW w:w="5879" w:type="dxa"/>
                  <w:tcBorders>
                    <w:top w:val="nil"/>
                    <w:left w:val="nil"/>
                    <w:bottom w:val="single" w:sz="8" w:space="0" w:color="000000"/>
                    <w:right w:val="single" w:sz="8" w:space="0" w:color="000000"/>
                  </w:tcBorders>
                </w:tcPr>
                <w:p w14:paraId="5F7A9411" w14:textId="77777777" w:rsidR="004C7A8A" w:rsidRDefault="004C7A8A">
                  <w:pPr>
                    <w:pStyle w:val="ListParagraph"/>
                    <w:numPr>
                      <w:ilvl w:val="0"/>
                      <w:numId w:val="1"/>
                    </w:numPr>
                    <w:spacing w:after="0" w:line="240" w:lineRule="auto"/>
                    <w:textAlignment w:val="baseline"/>
                    <w:rPr>
                      <w:rFonts w:eastAsia="Times New Roman"/>
                      <w:b/>
                      <w:bCs/>
                      <w:lang w:eastAsia="en-PH"/>
                    </w:rPr>
                  </w:pPr>
                  <w:r>
                    <w:rPr>
                      <w:rFonts w:eastAsia="Times New Roman"/>
                      <w:b/>
                      <w:bCs/>
                      <w:lang w:eastAsia="en-PH"/>
                    </w:rPr>
                    <w:t>Reduced investment variable rates for $500k+ loans</w:t>
                  </w:r>
                </w:p>
                <w:p w14:paraId="7C8F35ED" w14:textId="77777777" w:rsidR="004C7A8A" w:rsidRDefault="004C7A8A">
                  <w:pPr>
                    <w:pStyle w:val="ListParagraph"/>
                    <w:numPr>
                      <w:ilvl w:val="1"/>
                      <w:numId w:val="1"/>
                    </w:numPr>
                    <w:spacing w:after="0" w:line="240" w:lineRule="auto"/>
                    <w:textAlignment w:val="baseline"/>
                    <w:rPr>
                      <w:rFonts w:eastAsia="Times New Roman"/>
                      <w:lang w:eastAsia="en-PH"/>
                    </w:rPr>
                  </w:pPr>
                  <w:r>
                    <w:rPr>
                      <w:rFonts w:eastAsia="Times New Roman"/>
                      <w:lang w:eastAsia="en-PH"/>
                    </w:rPr>
                    <w:t>Reduction of variable rates for all new applications received from Wednesday, 27 October 2021 – Particularly the Professional Pack Variable Rate (&gt;=$500k) (Investment) (IO) (P&amp;I) with rates less than 80% and rates less than 60%</w:t>
                  </w:r>
                </w:p>
                <w:p w14:paraId="1D14C407" w14:textId="77777777" w:rsidR="004C7A8A" w:rsidRDefault="004C7A8A">
                  <w:pPr>
                    <w:pStyle w:val="ListParagraph"/>
                    <w:numPr>
                      <w:ilvl w:val="0"/>
                      <w:numId w:val="1"/>
                    </w:numPr>
                    <w:spacing w:after="0" w:line="240" w:lineRule="auto"/>
                    <w:textAlignment w:val="baseline"/>
                    <w:rPr>
                      <w:rFonts w:eastAsia="Times New Roman"/>
                      <w:b/>
                      <w:bCs/>
                      <w:lang w:eastAsia="en-PH"/>
                    </w:rPr>
                  </w:pPr>
                  <w:r>
                    <w:rPr>
                      <w:rFonts w:eastAsia="Times New Roman"/>
                      <w:b/>
                      <w:bCs/>
                      <w:lang w:eastAsia="en-PH"/>
                    </w:rPr>
                    <w:t>End of the DTI&lt;6 investment special</w:t>
                  </w:r>
                </w:p>
                <w:p w14:paraId="40B10EFE" w14:textId="77777777" w:rsidR="004C7A8A" w:rsidRDefault="004C7A8A">
                  <w:pPr>
                    <w:pStyle w:val="ListParagraph"/>
                    <w:numPr>
                      <w:ilvl w:val="1"/>
                      <w:numId w:val="1"/>
                    </w:numPr>
                    <w:spacing w:after="0" w:line="240" w:lineRule="auto"/>
                    <w:textAlignment w:val="baseline"/>
                    <w:rPr>
                      <w:rFonts w:eastAsia="Times New Roman"/>
                      <w:lang w:eastAsia="en-PH"/>
                    </w:rPr>
                  </w:pPr>
                  <w:r>
                    <w:rPr>
                      <w:rFonts w:eastAsia="Times New Roman"/>
                      <w:lang w:eastAsia="en-PH"/>
                    </w:rPr>
                    <w:t>Following the above investment variable changes, we're no longer offering discounted investment variable rates for investment loans with a DTI&lt;6.</w:t>
                  </w:r>
                </w:p>
                <w:p w14:paraId="639906EE" w14:textId="77777777" w:rsidR="004C7A8A" w:rsidRDefault="004C7A8A">
                  <w:pPr>
                    <w:pStyle w:val="ListParagraph"/>
                    <w:numPr>
                      <w:ilvl w:val="0"/>
                      <w:numId w:val="1"/>
                    </w:numPr>
                    <w:spacing w:after="0" w:line="240" w:lineRule="auto"/>
                    <w:textAlignment w:val="baseline"/>
                    <w:rPr>
                      <w:rFonts w:eastAsia="Times New Roman"/>
                      <w:b/>
                      <w:bCs/>
                      <w:lang w:eastAsia="en-PH"/>
                    </w:rPr>
                  </w:pPr>
                  <w:r>
                    <w:rPr>
                      <w:rFonts w:eastAsia="Times New Roman"/>
                      <w:b/>
                      <w:bCs/>
                      <w:lang w:eastAsia="en-PH"/>
                    </w:rPr>
                    <w:t>Strengthening residential mortgage lending assessments</w:t>
                  </w:r>
                </w:p>
                <w:p w14:paraId="00ABBE71" w14:textId="5D1E7242" w:rsidR="004C7A8A" w:rsidRDefault="004C7A8A">
                  <w:pPr>
                    <w:pStyle w:val="ListParagraph"/>
                    <w:numPr>
                      <w:ilvl w:val="1"/>
                      <w:numId w:val="1"/>
                    </w:numPr>
                    <w:spacing w:after="0" w:line="240" w:lineRule="auto"/>
                    <w:textAlignment w:val="baseline"/>
                    <w:rPr>
                      <w:rFonts w:eastAsia="Times New Roman"/>
                      <w:lang w:eastAsia="en-PH"/>
                    </w:rPr>
                  </w:pPr>
                  <w:r>
                    <w:rPr>
                      <w:rFonts w:eastAsia="Times New Roman"/>
                      <w:lang w:eastAsia="en-PH"/>
                    </w:rPr>
                    <w:t>Updating the servicing buffer rate from 2.50% to 3% within our servicing calculator. All loans will now have serviceability assessed at the higher of the current floor rate of 5.10% or the actual product rate plus the revised buffer of 3%.</w:t>
                  </w:r>
                </w:p>
                <w:p w14:paraId="74122544" w14:textId="3FDFB768" w:rsidR="00F05A8A" w:rsidRDefault="00F05A8A">
                  <w:pPr>
                    <w:pStyle w:val="ListParagraph"/>
                    <w:numPr>
                      <w:ilvl w:val="1"/>
                      <w:numId w:val="1"/>
                    </w:numPr>
                    <w:spacing w:after="0" w:line="240" w:lineRule="auto"/>
                    <w:textAlignment w:val="baseline"/>
                    <w:rPr>
                      <w:rFonts w:eastAsia="Times New Roman"/>
                      <w:lang w:eastAsia="en-PH"/>
                    </w:rPr>
                  </w:pPr>
                  <w:r w:rsidRPr="00F05A8A">
                    <w:rPr>
                      <w:rFonts w:eastAsia="Times New Roman"/>
                      <w:lang w:eastAsia="en-PH"/>
                    </w:rPr>
                    <w:t>The existing assessment rates will apply for new and inflight applications submitted prior to 27 October 2021. For all new business, including increases and other variations, submitted from 27 October 2021, the updated assessment rates will apply.</w:t>
                  </w:r>
                </w:p>
                <w:p w14:paraId="57B5B0B1" w14:textId="77777777" w:rsidR="004C7A8A" w:rsidRDefault="004C7A8A">
                  <w:pPr>
                    <w:pStyle w:val="ListParagraph"/>
                    <w:numPr>
                      <w:ilvl w:val="0"/>
                      <w:numId w:val="1"/>
                    </w:numPr>
                    <w:spacing w:after="0" w:line="240" w:lineRule="auto"/>
                    <w:textAlignment w:val="baseline"/>
                    <w:rPr>
                      <w:rFonts w:eastAsia="Times New Roman"/>
                      <w:b/>
                      <w:bCs/>
                      <w:lang w:eastAsia="en-PH"/>
                    </w:rPr>
                  </w:pPr>
                  <w:r>
                    <w:rPr>
                      <w:rFonts w:eastAsia="Times New Roman"/>
                      <w:b/>
                      <w:bCs/>
                      <w:lang w:eastAsia="en-PH"/>
                    </w:rPr>
                    <w:t>Refinance cashbacks offer extended due to popular demand</w:t>
                  </w:r>
                </w:p>
                <w:p w14:paraId="7048669E" w14:textId="77777777" w:rsidR="004C7A8A" w:rsidRDefault="004C7A8A">
                  <w:pPr>
                    <w:pStyle w:val="ListParagraph"/>
                    <w:numPr>
                      <w:ilvl w:val="1"/>
                      <w:numId w:val="1"/>
                    </w:numPr>
                    <w:spacing w:after="0" w:line="240" w:lineRule="auto"/>
                    <w:textAlignment w:val="baseline"/>
                    <w:rPr>
                      <w:rFonts w:eastAsia="Times New Roman"/>
                      <w:lang w:eastAsia="en-PH"/>
                    </w:rPr>
                  </w:pPr>
                  <w:r>
                    <w:rPr>
                      <w:rFonts w:eastAsia="Times New Roman"/>
                      <w:lang w:eastAsia="en-PH"/>
                    </w:rPr>
                    <w:lastRenderedPageBreak/>
                    <w:t>Apply to refinance with AMP Bank by 30 November 2021 and settle by 28 February 2022 and your customer could receive $3,000 cashback deposited into their AMP Bank deposit account. See below for details.</w:t>
                  </w:r>
                </w:p>
                <w:p w14:paraId="2495AB6B" w14:textId="77777777" w:rsidR="004C7A8A" w:rsidRDefault="004C7A8A">
                  <w:pPr>
                    <w:pStyle w:val="ListParagraph"/>
                    <w:numPr>
                      <w:ilvl w:val="1"/>
                      <w:numId w:val="1"/>
                    </w:numPr>
                    <w:spacing w:after="0" w:line="240" w:lineRule="auto"/>
                    <w:textAlignment w:val="baseline"/>
                    <w:rPr>
                      <w:rFonts w:eastAsia="Times New Roman"/>
                      <w:lang w:eastAsia="en-PH"/>
                    </w:rPr>
                  </w:pPr>
                  <w:r>
                    <w:rPr>
                      <w:rFonts w:eastAsia="Times New Roman"/>
                      <w:lang w:eastAsia="en-PH"/>
                    </w:rPr>
                    <w:t>Terms and conditions apply</w:t>
                  </w:r>
                </w:p>
                <w:p w14:paraId="1CDDF0A1" w14:textId="77777777" w:rsidR="004C7A8A" w:rsidRDefault="004C7A8A">
                  <w:pPr>
                    <w:textAlignment w:val="baseline"/>
                    <w:rPr>
                      <w:lang w:eastAsia="en-PH"/>
                    </w:rPr>
                  </w:pPr>
                </w:p>
                <w:p w14:paraId="09651247" w14:textId="77777777" w:rsidR="004C7A8A" w:rsidRDefault="004C7A8A">
                  <w:pPr>
                    <w:textAlignment w:val="baseline"/>
                    <w:rPr>
                      <w:lang w:eastAsia="en-PH"/>
                    </w:rPr>
                  </w:pPr>
                  <w:r>
                    <w:rPr>
                      <w:lang w:eastAsia="en-PH"/>
                    </w:rPr>
                    <w:t xml:space="preserve">Click </w:t>
                  </w:r>
                  <w:hyperlink r:id="rId5" w:history="1">
                    <w:r>
                      <w:rPr>
                        <w:rStyle w:val="Hyperlink"/>
                        <w:lang w:eastAsia="en-PH"/>
                      </w:rPr>
                      <w:t>here</w:t>
                    </w:r>
                  </w:hyperlink>
                  <w:r>
                    <w:rPr>
                      <w:lang w:eastAsia="en-PH"/>
                    </w:rPr>
                    <w:t xml:space="preserve"> to find more about AMP updates</w:t>
                  </w:r>
                </w:p>
              </w:tc>
            </w:tr>
            <w:tr w:rsidR="004C7A8A" w14:paraId="09191E27" w14:textId="77777777" w:rsidTr="004C7A8A">
              <w:tc>
                <w:tcPr>
                  <w:tcW w:w="1526" w:type="dxa"/>
                  <w:tcBorders>
                    <w:top w:val="nil"/>
                    <w:left w:val="single" w:sz="8" w:space="0" w:color="000000"/>
                    <w:bottom w:val="single" w:sz="8" w:space="0" w:color="000000"/>
                    <w:right w:val="single" w:sz="8" w:space="0" w:color="000000"/>
                  </w:tcBorders>
                  <w:hideMark/>
                </w:tcPr>
                <w:p w14:paraId="58E405EC" w14:textId="77777777" w:rsidR="004C7A8A" w:rsidRDefault="004C7A8A">
                  <w:pPr>
                    <w:jc w:val="center"/>
                    <w:textAlignment w:val="baseline"/>
                    <w:rPr>
                      <w:lang w:eastAsia="en-PH"/>
                    </w:rPr>
                  </w:pPr>
                  <w:r>
                    <w:rPr>
                      <w:lang w:eastAsia="en-PH"/>
                    </w:rPr>
                    <w:lastRenderedPageBreak/>
                    <w:t>22 – Oct</w:t>
                  </w:r>
                </w:p>
              </w:tc>
              <w:tc>
                <w:tcPr>
                  <w:tcW w:w="1939" w:type="dxa"/>
                  <w:tcBorders>
                    <w:top w:val="nil"/>
                    <w:left w:val="nil"/>
                    <w:bottom w:val="nil"/>
                    <w:right w:val="single" w:sz="8" w:space="0" w:color="000000"/>
                  </w:tcBorders>
                  <w:hideMark/>
                </w:tcPr>
                <w:p w14:paraId="3EC41E27" w14:textId="77777777" w:rsidR="004C7A8A" w:rsidRDefault="004C7A8A">
                  <w:pPr>
                    <w:jc w:val="center"/>
                    <w:textAlignment w:val="baseline"/>
                    <w:rPr>
                      <w:lang w:val="en-AU" w:eastAsia="en-PH"/>
                    </w:rPr>
                  </w:pPr>
                  <w:r>
                    <w:rPr>
                      <w:lang w:val="en-AU" w:eastAsia="en-PH"/>
                    </w:rPr>
                    <w:t>ANZ</w:t>
                  </w:r>
                </w:p>
              </w:tc>
              <w:tc>
                <w:tcPr>
                  <w:tcW w:w="5879" w:type="dxa"/>
                  <w:tcBorders>
                    <w:top w:val="nil"/>
                    <w:left w:val="nil"/>
                    <w:bottom w:val="single" w:sz="8" w:space="0" w:color="000000"/>
                    <w:right w:val="single" w:sz="8" w:space="0" w:color="000000"/>
                  </w:tcBorders>
                </w:tcPr>
                <w:p w14:paraId="04C59BD5" w14:textId="77777777" w:rsidR="004C7A8A" w:rsidRDefault="004C7A8A">
                  <w:pPr>
                    <w:pStyle w:val="ListParagraph"/>
                    <w:numPr>
                      <w:ilvl w:val="0"/>
                      <w:numId w:val="2"/>
                    </w:numPr>
                    <w:spacing w:after="0" w:line="240" w:lineRule="auto"/>
                    <w:textAlignment w:val="baseline"/>
                    <w:rPr>
                      <w:rFonts w:eastAsia="Times New Roman"/>
                      <w:b/>
                      <w:bCs/>
                      <w:lang w:eastAsia="en-PH"/>
                    </w:rPr>
                  </w:pPr>
                  <w:r>
                    <w:rPr>
                      <w:rFonts w:eastAsia="Times New Roman"/>
                      <w:b/>
                      <w:bCs/>
                      <w:lang w:eastAsia="en-PH"/>
                    </w:rPr>
                    <w:t>Changes to Fixed Home Loan Rates</w:t>
                  </w:r>
                </w:p>
                <w:p w14:paraId="2BF7EFCE" w14:textId="77777777" w:rsidR="004C7A8A" w:rsidRDefault="004C7A8A">
                  <w:pPr>
                    <w:pStyle w:val="ListParagraph"/>
                    <w:numPr>
                      <w:ilvl w:val="1"/>
                      <w:numId w:val="2"/>
                    </w:numPr>
                    <w:spacing w:after="0" w:line="240" w:lineRule="auto"/>
                    <w:textAlignment w:val="baseline"/>
                    <w:rPr>
                      <w:rFonts w:eastAsia="Times New Roman"/>
                      <w:lang w:eastAsia="en-PH"/>
                    </w:rPr>
                  </w:pPr>
                  <w:r>
                    <w:rPr>
                      <w:rFonts w:eastAsia="Times New Roman"/>
                      <w:lang w:eastAsia="en-PH"/>
                    </w:rPr>
                    <w:t>Effective 22 October 2021, ANZ has made the changes to its fixed rates for both Owner Occupied and Investment Purposes</w:t>
                  </w:r>
                </w:p>
                <w:p w14:paraId="61B778DE" w14:textId="77777777" w:rsidR="004C7A8A" w:rsidRDefault="004C7A8A">
                  <w:pPr>
                    <w:textAlignment w:val="baseline"/>
                    <w:rPr>
                      <w:lang w:eastAsia="en-PH"/>
                    </w:rPr>
                  </w:pPr>
                </w:p>
                <w:p w14:paraId="56A4BDFB" w14:textId="77777777" w:rsidR="004C7A8A" w:rsidRDefault="004C7A8A">
                  <w:pPr>
                    <w:textAlignment w:val="baseline"/>
                    <w:rPr>
                      <w:lang w:eastAsia="en-PH"/>
                    </w:rPr>
                  </w:pPr>
                  <w:r>
                    <w:rPr>
                      <w:lang w:eastAsia="en-PH"/>
                    </w:rPr>
                    <w:t xml:space="preserve">Click </w:t>
                  </w:r>
                  <w:hyperlink r:id="rId6" w:history="1">
                    <w:r>
                      <w:rPr>
                        <w:rStyle w:val="Hyperlink"/>
                        <w:lang w:eastAsia="en-PH"/>
                      </w:rPr>
                      <w:t>here</w:t>
                    </w:r>
                  </w:hyperlink>
                  <w:r>
                    <w:rPr>
                      <w:lang w:eastAsia="en-PH"/>
                    </w:rPr>
                    <w:t xml:space="preserve"> to find more about ANZ updates</w:t>
                  </w:r>
                </w:p>
              </w:tc>
            </w:tr>
            <w:tr w:rsidR="004C7A8A" w14:paraId="35708456" w14:textId="77777777" w:rsidTr="004C7A8A">
              <w:tc>
                <w:tcPr>
                  <w:tcW w:w="1526" w:type="dxa"/>
                  <w:tcBorders>
                    <w:top w:val="nil"/>
                    <w:left w:val="single" w:sz="8" w:space="0" w:color="000000"/>
                    <w:bottom w:val="single" w:sz="8" w:space="0" w:color="000000"/>
                    <w:right w:val="single" w:sz="8" w:space="0" w:color="000000"/>
                  </w:tcBorders>
                  <w:hideMark/>
                </w:tcPr>
                <w:p w14:paraId="23A67B16" w14:textId="77777777" w:rsidR="004C7A8A" w:rsidRDefault="004C7A8A">
                  <w:pPr>
                    <w:jc w:val="center"/>
                    <w:textAlignment w:val="baseline"/>
                    <w:rPr>
                      <w:lang w:eastAsia="en-PH"/>
                    </w:rPr>
                  </w:pPr>
                  <w:r>
                    <w:rPr>
                      <w:lang w:eastAsia="en-PH"/>
                    </w:rPr>
                    <w:t>21 – Oct</w:t>
                  </w:r>
                </w:p>
              </w:tc>
              <w:tc>
                <w:tcPr>
                  <w:tcW w:w="0" w:type="auto"/>
                  <w:tcBorders>
                    <w:top w:val="single" w:sz="8" w:space="0" w:color="000000"/>
                    <w:left w:val="nil"/>
                    <w:bottom w:val="single" w:sz="8" w:space="0" w:color="000000"/>
                    <w:right w:val="single" w:sz="8" w:space="0" w:color="000000"/>
                  </w:tcBorders>
                  <w:hideMark/>
                </w:tcPr>
                <w:p w14:paraId="44CCC851" w14:textId="77777777" w:rsidR="004C7A8A" w:rsidRDefault="004C7A8A">
                  <w:pPr>
                    <w:jc w:val="center"/>
                    <w:rPr>
                      <w:lang w:eastAsia="en-PH"/>
                    </w:rPr>
                  </w:pPr>
                  <w:r>
                    <w:rPr>
                      <w:lang w:val="en-AU" w:eastAsia="en-PH"/>
                    </w:rPr>
                    <w:t>Commonwealth Bank</w:t>
                  </w:r>
                </w:p>
              </w:tc>
              <w:tc>
                <w:tcPr>
                  <w:tcW w:w="5879" w:type="dxa"/>
                  <w:tcBorders>
                    <w:top w:val="nil"/>
                    <w:left w:val="nil"/>
                    <w:bottom w:val="single" w:sz="8" w:space="0" w:color="000000"/>
                    <w:right w:val="single" w:sz="8" w:space="0" w:color="000000"/>
                  </w:tcBorders>
                </w:tcPr>
                <w:p w14:paraId="7F2DB6A5" w14:textId="77777777" w:rsidR="004C7A8A" w:rsidRDefault="004C7A8A">
                  <w:pPr>
                    <w:pStyle w:val="ListParagraph"/>
                    <w:numPr>
                      <w:ilvl w:val="0"/>
                      <w:numId w:val="3"/>
                    </w:numPr>
                    <w:spacing w:after="0" w:line="240" w:lineRule="auto"/>
                    <w:textAlignment w:val="baseline"/>
                    <w:rPr>
                      <w:rFonts w:eastAsia="Times New Roman"/>
                      <w:b/>
                      <w:bCs/>
                      <w:lang w:eastAsia="en-PH"/>
                    </w:rPr>
                  </w:pPr>
                  <w:r>
                    <w:rPr>
                      <w:rFonts w:eastAsia="Times New Roman"/>
                      <w:b/>
                      <w:bCs/>
                      <w:lang w:eastAsia="en-PH"/>
                    </w:rPr>
                    <w:t>Simplifying Self-Employed Income Verification</w:t>
                  </w:r>
                </w:p>
                <w:p w14:paraId="17C4D560" w14:textId="77777777" w:rsidR="004C7A8A" w:rsidRDefault="004C7A8A">
                  <w:pPr>
                    <w:pStyle w:val="ListParagraph"/>
                    <w:numPr>
                      <w:ilvl w:val="1"/>
                      <w:numId w:val="3"/>
                    </w:numPr>
                    <w:spacing w:after="0" w:line="240" w:lineRule="auto"/>
                    <w:textAlignment w:val="baseline"/>
                    <w:rPr>
                      <w:rFonts w:eastAsia="Times New Roman"/>
                      <w:lang w:eastAsia="en-PH"/>
                    </w:rPr>
                  </w:pPr>
                  <w:r>
                    <w:rPr>
                      <w:rFonts w:eastAsia="Times New Roman"/>
                      <w:lang w:eastAsia="en-PH"/>
                    </w:rPr>
                    <w:t>New Self-Employed income changes in May and August this year to improve the income verification processes and requirements for self-employed customers.</w:t>
                  </w:r>
                </w:p>
                <w:p w14:paraId="753A7A0C" w14:textId="77777777" w:rsidR="004C7A8A" w:rsidRDefault="004C7A8A">
                  <w:pPr>
                    <w:pStyle w:val="ListParagraph"/>
                    <w:numPr>
                      <w:ilvl w:val="0"/>
                      <w:numId w:val="3"/>
                    </w:numPr>
                    <w:spacing w:after="0" w:line="240" w:lineRule="auto"/>
                    <w:textAlignment w:val="baseline"/>
                    <w:rPr>
                      <w:rFonts w:eastAsia="Times New Roman"/>
                      <w:b/>
                      <w:bCs/>
                      <w:lang w:eastAsia="en-PH"/>
                    </w:rPr>
                  </w:pPr>
                  <w:r>
                    <w:rPr>
                      <w:rFonts w:eastAsia="Times New Roman"/>
                      <w:b/>
                      <w:bCs/>
                      <w:lang w:eastAsia="en-PH"/>
                    </w:rPr>
                    <w:t>Rate Change Clarification</w:t>
                  </w:r>
                </w:p>
                <w:p w14:paraId="5F6904B6" w14:textId="77777777" w:rsidR="004C7A8A" w:rsidRDefault="004C7A8A">
                  <w:pPr>
                    <w:pStyle w:val="ListParagraph"/>
                    <w:numPr>
                      <w:ilvl w:val="1"/>
                      <w:numId w:val="3"/>
                    </w:numPr>
                    <w:spacing w:after="0" w:line="240" w:lineRule="auto"/>
                    <w:textAlignment w:val="baseline"/>
                    <w:rPr>
                      <w:rFonts w:eastAsia="Times New Roman"/>
                      <w:lang w:eastAsia="en-PH"/>
                    </w:rPr>
                  </w:pPr>
                  <w:r>
                    <w:rPr>
                      <w:rFonts w:eastAsia="Times New Roman"/>
                      <w:lang w:eastAsia="en-PH"/>
                    </w:rPr>
                    <w:t>There was an error in the Rate Change Update sent on Friday 15 October, where the 5 Year Owner Occupied Fixed Rate Interest Only Package Rate was listed as ‘3.39% (unchanged)’, when it should have read ‘3.89% (unchanged)’</w:t>
                  </w:r>
                </w:p>
                <w:p w14:paraId="5AE698C0" w14:textId="77777777" w:rsidR="004C7A8A" w:rsidRDefault="004C7A8A">
                  <w:pPr>
                    <w:pStyle w:val="ListParagraph"/>
                    <w:numPr>
                      <w:ilvl w:val="0"/>
                      <w:numId w:val="3"/>
                    </w:numPr>
                    <w:spacing w:after="0" w:line="240" w:lineRule="auto"/>
                    <w:textAlignment w:val="baseline"/>
                    <w:rPr>
                      <w:rFonts w:eastAsia="Times New Roman"/>
                      <w:b/>
                      <w:bCs/>
                      <w:lang w:eastAsia="en-PH"/>
                    </w:rPr>
                  </w:pPr>
                  <w:r>
                    <w:rPr>
                      <w:rFonts w:eastAsia="Times New Roman"/>
                      <w:b/>
                      <w:bCs/>
                      <w:lang w:eastAsia="en-PH"/>
                    </w:rPr>
                    <w:t>Simplified Liability Verification Conduct Requirements</w:t>
                  </w:r>
                </w:p>
                <w:p w14:paraId="5B7EE766" w14:textId="77777777" w:rsidR="004C7A8A" w:rsidRDefault="004C7A8A">
                  <w:pPr>
                    <w:pStyle w:val="ListParagraph"/>
                    <w:numPr>
                      <w:ilvl w:val="1"/>
                      <w:numId w:val="3"/>
                    </w:numPr>
                    <w:spacing w:after="0" w:line="240" w:lineRule="auto"/>
                    <w:textAlignment w:val="baseline"/>
                    <w:rPr>
                      <w:rFonts w:eastAsia="Times New Roman"/>
                      <w:lang w:eastAsia="en-PH"/>
                    </w:rPr>
                  </w:pPr>
                  <w:r>
                    <w:rPr>
                      <w:rFonts w:eastAsia="Times New Roman"/>
                      <w:lang w:eastAsia="en-PH"/>
                    </w:rPr>
                    <w:t>Made enhancements to the liability verification and conduct requirements for personal customers applying for a home loan, by utilizing Comprehensive Credit Reporting (CCR) data to improve and simplify the Credit decision experience for you and your customers</w:t>
                  </w:r>
                </w:p>
                <w:p w14:paraId="2E80123E" w14:textId="77777777" w:rsidR="004C7A8A" w:rsidRDefault="004C7A8A">
                  <w:pPr>
                    <w:textAlignment w:val="baseline"/>
                    <w:rPr>
                      <w:lang w:eastAsia="en-PH"/>
                    </w:rPr>
                  </w:pPr>
                </w:p>
                <w:p w14:paraId="0248945E" w14:textId="77777777" w:rsidR="004C7A8A" w:rsidRDefault="004C7A8A">
                  <w:pPr>
                    <w:textAlignment w:val="baseline"/>
                    <w:rPr>
                      <w:lang w:eastAsia="en-PH"/>
                    </w:rPr>
                  </w:pPr>
                  <w:r>
                    <w:rPr>
                      <w:lang w:eastAsia="en-PH"/>
                    </w:rPr>
                    <w:t xml:space="preserve">Click </w:t>
                  </w:r>
                  <w:hyperlink r:id="rId7" w:history="1">
                    <w:r>
                      <w:rPr>
                        <w:rStyle w:val="Hyperlink"/>
                        <w:lang w:eastAsia="en-PH"/>
                      </w:rPr>
                      <w:t>here</w:t>
                    </w:r>
                  </w:hyperlink>
                  <w:r>
                    <w:rPr>
                      <w:lang w:eastAsia="en-PH"/>
                    </w:rPr>
                    <w:t xml:space="preserve"> to find more about Commonwealth Bank Updates</w:t>
                  </w:r>
                </w:p>
              </w:tc>
            </w:tr>
            <w:tr w:rsidR="004C7A8A" w14:paraId="3F185E44" w14:textId="77777777" w:rsidTr="004C7A8A">
              <w:tc>
                <w:tcPr>
                  <w:tcW w:w="1526" w:type="dxa"/>
                  <w:tcBorders>
                    <w:top w:val="nil"/>
                    <w:left w:val="single" w:sz="8" w:space="0" w:color="000000"/>
                    <w:bottom w:val="single" w:sz="8" w:space="0" w:color="000000"/>
                    <w:right w:val="single" w:sz="8" w:space="0" w:color="000000"/>
                  </w:tcBorders>
                  <w:hideMark/>
                </w:tcPr>
                <w:p w14:paraId="389194D6" w14:textId="77777777" w:rsidR="004C7A8A" w:rsidRDefault="004C7A8A">
                  <w:pPr>
                    <w:jc w:val="center"/>
                    <w:textAlignment w:val="baseline"/>
                    <w:rPr>
                      <w:lang w:eastAsia="en-PH"/>
                    </w:rPr>
                  </w:pPr>
                  <w:r>
                    <w:rPr>
                      <w:lang w:eastAsia="en-PH"/>
                    </w:rPr>
                    <w:t>25 – Oct</w:t>
                  </w:r>
                </w:p>
              </w:tc>
              <w:tc>
                <w:tcPr>
                  <w:tcW w:w="0" w:type="auto"/>
                  <w:tcBorders>
                    <w:top w:val="nil"/>
                    <w:left w:val="nil"/>
                    <w:bottom w:val="single" w:sz="8" w:space="0" w:color="000000"/>
                    <w:right w:val="single" w:sz="8" w:space="0" w:color="000000"/>
                  </w:tcBorders>
                  <w:hideMark/>
                </w:tcPr>
                <w:p w14:paraId="4407AC0F" w14:textId="77777777" w:rsidR="004C7A8A" w:rsidRDefault="004C7A8A">
                  <w:pPr>
                    <w:jc w:val="center"/>
                    <w:rPr>
                      <w:lang w:eastAsia="en-PH"/>
                    </w:rPr>
                  </w:pPr>
                  <w:r>
                    <w:rPr>
                      <w:lang w:val="en-AU" w:eastAsia="en-PH"/>
                    </w:rPr>
                    <w:t>HSBC</w:t>
                  </w:r>
                </w:p>
              </w:tc>
              <w:tc>
                <w:tcPr>
                  <w:tcW w:w="5879" w:type="dxa"/>
                  <w:tcBorders>
                    <w:top w:val="nil"/>
                    <w:left w:val="nil"/>
                    <w:bottom w:val="single" w:sz="8" w:space="0" w:color="000000"/>
                    <w:right w:val="single" w:sz="8" w:space="0" w:color="000000"/>
                  </w:tcBorders>
                  <w:hideMark/>
                </w:tcPr>
                <w:p w14:paraId="75609EE0" w14:textId="77777777" w:rsidR="004C7A8A" w:rsidRDefault="004C7A8A">
                  <w:pPr>
                    <w:pStyle w:val="ListParagraph"/>
                    <w:numPr>
                      <w:ilvl w:val="0"/>
                      <w:numId w:val="4"/>
                    </w:numPr>
                    <w:spacing w:after="0" w:line="240" w:lineRule="auto"/>
                    <w:textAlignment w:val="baseline"/>
                    <w:rPr>
                      <w:rFonts w:eastAsia="Times New Roman"/>
                      <w:b/>
                      <w:bCs/>
                      <w:lang w:eastAsia="en-PH"/>
                    </w:rPr>
                  </w:pPr>
                  <w:r>
                    <w:rPr>
                      <w:rFonts w:eastAsia="Times New Roman"/>
                      <w:b/>
                      <w:bCs/>
                      <w:lang w:eastAsia="en-PH"/>
                    </w:rPr>
                    <w:t>Mortgage Assessment Rate Buffer</w:t>
                  </w:r>
                </w:p>
                <w:p w14:paraId="16BBF901" w14:textId="77777777" w:rsidR="004C7A8A" w:rsidRDefault="004C7A8A">
                  <w:pPr>
                    <w:pStyle w:val="ListParagraph"/>
                    <w:numPr>
                      <w:ilvl w:val="1"/>
                      <w:numId w:val="4"/>
                    </w:numPr>
                    <w:spacing w:after="0" w:line="240" w:lineRule="auto"/>
                    <w:textAlignment w:val="baseline"/>
                    <w:rPr>
                      <w:rFonts w:eastAsia="Times New Roman"/>
                      <w:lang w:eastAsia="en-PH"/>
                    </w:rPr>
                  </w:pPr>
                  <w:r>
                    <w:rPr>
                      <w:rFonts w:eastAsia="Times New Roman"/>
                      <w:lang w:eastAsia="en-PH"/>
                    </w:rPr>
                    <w:t>Reflecting APRA’s notification HSBC’s mortgage assessment rate buffer will increase from 2.5% to 3.0%, effective for all applications submitted from Monday 25 October 2021.</w:t>
                  </w:r>
                </w:p>
                <w:p w14:paraId="444C5821" w14:textId="77777777" w:rsidR="004C7A8A" w:rsidRDefault="004C7A8A">
                  <w:pPr>
                    <w:pStyle w:val="ListParagraph"/>
                    <w:numPr>
                      <w:ilvl w:val="1"/>
                      <w:numId w:val="4"/>
                    </w:numPr>
                    <w:spacing w:after="0" w:line="240" w:lineRule="auto"/>
                    <w:textAlignment w:val="baseline"/>
                    <w:rPr>
                      <w:rFonts w:eastAsia="Times New Roman"/>
                      <w:lang w:eastAsia="en-PH"/>
                    </w:rPr>
                  </w:pPr>
                  <w:r>
                    <w:rPr>
                      <w:rFonts w:eastAsia="Times New Roman"/>
                      <w:lang w:eastAsia="en-PH"/>
                    </w:rPr>
                    <w:t>Existing applications submitted before 25 October 2021 will continue to be assessed under the policy at the time of submission.</w:t>
                  </w:r>
                </w:p>
                <w:p w14:paraId="3FDDCFBE" w14:textId="77777777" w:rsidR="004C7A8A" w:rsidRDefault="004C7A8A">
                  <w:pPr>
                    <w:pStyle w:val="ListParagraph"/>
                    <w:numPr>
                      <w:ilvl w:val="1"/>
                      <w:numId w:val="4"/>
                    </w:numPr>
                    <w:spacing w:after="0" w:line="240" w:lineRule="auto"/>
                    <w:textAlignment w:val="baseline"/>
                    <w:rPr>
                      <w:rFonts w:eastAsia="Times New Roman"/>
                      <w:lang w:eastAsia="en-PH"/>
                    </w:rPr>
                  </w:pPr>
                  <w:r>
                    <w:rPr>
                      <w:rFonts w:eastAsia="Times New Roman"/>
                      <w:lang w:eastAsia="en-PH"/>
                    </w:rPr>
                    <w:lastRenderedPageBreak/>
                    <w:t>The Policy and Serviceability Calculator (v3.4) will be updated and available on the Broker Portal from the effective date.</w:t>
                  </w:r>
                </w:p>
                <w:p w14:paraId="3B777920" w14:textId="77777777" w:rsidR="004C7A8A" w:rsidRDefault="004C7A8A">
                  <w:pPr>
                    <w:pStyle w:val="ListParagraph"/>
                    <w:numPr>
                      <w:ilvl w:val="0"/>
                      <w:numId w:val="4"/>
                    </w:numPr>
                    <w:spacing w:after="0" w:line="240" w:lineRule="auto"/>
                    <w:textAlignment w:val="baseline"/>
                    <w:rPr>
                      <w:rFonts w:eastAsia="Times New Roman"/>
                      <w:b/>
                      <w:bCs/>
                      <w:lang w:eastAsia="en-PH"/>
                    </w:rPr>
                  </w:pPr>
                  <w:r>
                    <w:rPr>
                      <w:rFonts w:eastAsia="Times New Roman"/>
                      <w:b/>
                      <w:bCs/>
                      <w:lang w:eastAsia="en-PH"/>
                    </w:rPr>
                    <w:t>HSBC Mortgage Care &amp; Credit Scenarios Hotline – Now Open until 7pm (AEDT)</w:t>
                  </w:r>
                </w:p>
                <w:p w14:paraId="716E96F1" w14:textId="77777777" w:rsidR="004C7A8A" w:rsidRDefault="004C7A8A">
                  <w:pPr>
                    <w:pStyle w:val="ListParagraph"/>
                    <w:numPr>
                      <w:ilvl w:val="1"/>
                      <w:numId w:val="4"/>
                    </w:numPr>
                    <w:spacing w:after="0" w:line="240" w:lineRule="auto"/>
                    <w:textAlignment w:val="baseline"/>
                    <w:rPr>
                      <w:rFonts w:eastAsia="Times New Roman"/>
                      <w:lang w:eastAsia="en-PH"/>
                    </w:rPr>
                  </w:pPr>
                  <w:r>
                    <w:rPr>
                      <w:rFonts w:eastAsia="Times New Roman"/>
                      <w:lang w:eastAsia="en-PH"/>
                    </w:rPr>
                    <w:t xml:space="preserve">From Monday 25 October, the Mortgage Care and Credit Scenarios phone line of 1300 306 375 will be available from 9am-7pm AEDT:  </w:t>
                  </w:r>
                </w:p>
                <w:p w14:paraId="3AA17EFB" w14:textId="77777777" w:rsidR="004C7A8A" w:rsidRDefault="004C7A8A">
                  <w:pPr>
                    <w:pStyle w:val="ListParagraph"/>
                    <w:numPr>
                      <w:ilvl w:val="2"/>
                      <w:numId w:val="4"/>
                    </w:numPr>
                    <w:spacing w:after="0" w:line="240" w:lineRule="auto"/>
                    <w:textAlignment w:val="baseline"/>
                    <w:rPr>
                      <w:rFonts w:eastAsia="Times New Roman"/>
                      <w:lang w:eastAsia="en-PH"/>
                    </w:rPr>
                  </w:pPr>
                  <w:r>
                    <w:rPr>
                      <w:rFonts w:eastAsia="Times New Roman"/>
                      <w:lang w:eastAsia="en-PH"/>
                    </w:rPr>
                    <w:t xml:space="preserve">Option 1 Mortgage Care </w:t>
                  </w:r>
                </w:p>
                <w:p w14:paraId="60913E85" w14:textId="77777777" w:rsidR="004C7A8A" w:rsidRDefault="004C7A8A">
                  <w:pPr>
                    <w:pStyle w:val="ListParagraph"/>
                    <w:numPr>
                      <w:ilvl w:val="2"/>
                      <w:numId w:val="4"/>
                    </w:numPr>
                    <w:spacing w:after="0" w:line="240" w:lineRule="auto"/>
                    <w:textAlignment w:val="baseline"/>
                    <w:rPr>
                      <w:rFonts w:eastAsia="Times New Roman"/>
                      <w:b/>
                      <w:bCs/>
                      <w:lang w:eastAsia="en-PH"/>
                    </w:rPr>
                  </w:pPr>
                  <w:r>
                    <w:rPr>
                      <w:rFonts w:eastAsia="Times New Roman"/>
                      <w:lang w:eastAsia="en-PH"/>
                    </w:rPr>
                    <w:t xml:space="preserve">Option 2 Credit Scenarios  </w:t>
                  </w:r>
                </w:p>
              </w:tc>
            </w:tr>
            <w:tr w:rsidR="004C7A8A" w14:paraId="6DE88B5C" w14:textId="77777777" w:rsidTr="004C7A8A">
              <w:tc>
                <w:tcPr>
                  <w:tcW w:w="1526" w:type="dxa"/>
                  <w:tcBorders>
                    <w:top w:val="nil"/>
                    <w:left w:val="single" w:sz="8" w:space="0" w:color="000000"/>
                    <w:bottom w:val="single" w:sz="8" w:space="0" w:color="000000"/>
                    <w:right w:val="single" w:sz="8" w:space="0" w:color="000000"/>
                  </w:tcBorders>
                  <w:hideMark/>
                </w:tcPr>
                <w:p w14:paraId="24E52A66" w14:textId="77777777" w:rsidR="004C7A8A" w:rsidRDefault="004C7A8A">
                  <w:pPr>
                    <w:jc w:val="center"/>
                    <w:textAlignment w:val="baseline"/>
                    <w:rPr>
                      <w:lang w:eastAsia="en-PH"/>
                    </w:rPr>
                  </w:pPr>
                  <w:r>
                    <w:rPr>
                      <w:lang w:eastAsia="en-PH"/>
                    </w:rPr>
                    <w:lastRenderedPageBreak/>
                    <w:t>18 – Oct</w:t>
                  </w:r>
                </w:p>
              </w:tc>
              <w:tc>
                <w:tcPr>
                  <w:tcW w:w="0" w:type="auto"/>
                  <w:tcBorders>
                    <w:top w:val="nil"/>
                    <w:left w:val="nil"/>
                    <w:bottom w:val="single" w:sz="8" w:space="0" w:color="000000"/>
                    <w:right w:val="single" w:sz="8" w:space="0" w:color="000000"/>
                  </w:tcBorders>
                  <w:hideMark/>
                </w:tcPr>
                <w:p w14:paraId="069860C7" w14:textId="77777777" w:rsidR="004C7A8A" w:rsidRDefault="004C7A8A">
                  <w:pPr>
                    <w:jc w:val="center"/>
                    <w:rPr>
                      <w:lang w:eastAsia="en-PH"/>
                    </w:rPr>
                  </w:pPr>
                  <w:r>
                    <w:rPr>
                      <w:lang w:val="en-AU" w:eastAsia="en-PH"/>
                    </w:rPr>
                    <w:t>Heritage Bank</w:t>
                  </w:r>
                </w:p>
              </w:tc>
              <w:tc>
                <w:tcPr>
                  <w:tcW w:w="5879" w:type="dxa"/>
                  <w:tcBorders>
                    <w:top w:val="nil"/>
                    <w:left w:val="nil"/>
                    <w:bottom w:val="single" w:sz="8" w:space="0" w:color="000000"/>
                    <w:right w:val="single" w:sz="8" w:space="0" w:color="000000"/>
                  </w:tcBorders>
                  <w:hideMark/>
                </w:tcPr>
                <w:p w14:paraId="1EC55DFB" w14:textId="77777777" w:rsidR="004C7A8A" w:rsidRDefault="004C7A8A">
                  <w:pPr>
                    <w:pStyle w:val="ListParagraph"/>
                    <w:numPr>
                      <w:ilvl w:val="0"/>
                      <w:numId w:val="5"/>
                    </w:numPr>
                    <w:spacing w:after="0" w:line="240" w:lineRule="auto"/>
                    <w:textAlignment w:val="baseline"/>
                    <w:rPr>
                      <w:rFonts w:eastAsia="Times New Roman"/>
                      <w:b/>
                      <w:bCs/>
                      <w:lang w:eastAsia="en-PH"/>
                    </w:rPr>
                  </w:pPr>
                  <w:r>
                    <w:rPr>
                      <w:rFonts w:eastAsia="Times New Roman"/>
                      <w:b/>
                      <w:bCs/>
                      <w:lang w:eastAsia="en-PH"/>
                    </w:rPr>
                    <w:t>Mortgage and Lending Policy Changes</w:t>
                  </w:r>
                </w:p>
                <w:p w14:paraId="14B315B1" w14:textId="77777777" w:rsidR="004C7A8A" w:rsidRDefault="004C7A8A">
                  <w:pPr>
                    <w:pStyle w:val="ListParagraph"/>
                    <w:numPr>
                      <w:ilvl w:val="1"/>
                      <w:numId w:val="5"/>
                    </w:numPr>
                    <w:spacing w:after="0" w:line="240" w:lineRule="auto"/>
                    <w:textAlignment w:val="baseline"/>
                    <w:rPr>
                      <w:rFonts w:eastAsia="Times New Roman"/>
                      <w:b/>
                      <w:bCs/>
                      <w:lang w:eastAsia="en-PH"/>
                    </w:rPr>
                  </w:pPr>
                  <w:r>
                    <w:rPr>
                      <w:rFonts w:eastAsia="Times New Roman"/>
                      <w:b/>
                      <w:bCs/>
                      <w:lang w:eastAsia="en-PH"/>
                    </w:rPr>
                    <w:t>PAYG</w:t>
                  </w:r>
                </w:p>
                <w:p w14:paraId="3553E0EC" w14:textId="77777777" w:rsidR="004C7A8A" w:rsidRDefault="004C7A8A">
                  <w:pPr>
                    <w:pStyle w:val="ListParagraph"/>
                    <w:numPr>
                      <w:ilvl w:val="2"/>
                      <w:numId w:val="5"/>
                    </w:numPr>
                    <w:spacing w:after="0" w:line="240" w:lineRule="auto"/>
                    <w:textAlignment w:val="baseline"/>
                    <w:rPr>
                      <w:rFonts w:eastAsia="Times New Roman"/>
                      <w:lang w:eastAsia="en-PH"/>
                    </w:rPr>
                  </w:pPr>
                  <w:r>
                    <w:rPr>
                      <w:rFonts w:eastAsia="Times New Roman"/>
                      <w:lang w:eastAsia="en-PH"/>
                    </w:rPr>
                    <w:t>Removed the mandatory verbal employment verification requirement</w:t>
                  </w:r>
                </w:p>
              </w:tc>
            </w:tr>
            <w:tr w:rsidR="004C7A8A" w14:paraId="4C6CEC94" w14:textId="77777777" w:rsidTr="004C7A8A">
              <w:tc>
                <w:tcPr>
                  <w:tcW w:w="1526" w:type="dxa"/>
                  <w:tcBorders>
                    <w:top w:val="nil"/>
                    <w:left w:val="single" w:sz="8" w:space="0" w:color="000000"/>
                    <w:bottom w:val="single" w:sz="8" w:space="0" w:color="000000"/>
                    <w:right w:val="single" w:sz="8" w:space="0" w:color="000000"/>
                  </w:tcBorders>
                  <w:hideMark/>
                </w:tcPr>
                <w:p w14:paraId="0D372928" w14:textId="77777777" w:rsidR="004C7A8A" w:rsidRDefault="004C7A8A">
                  <w:pPr>
                    <w:jc w:val="center"/>
                    <w:textAlignment w:val="baseline"/>
                    <w:rPr>
                      <w:lang w:eastAsia="en-PH"/>
                    </w:rPr>
                  </w:pPr>
                  <w:r>
                    <w:rPr>
                      <w:lang w:eastAsia="en-PH"/>
                    </w:rPr>
                    <w:t>1 – Nov</w:t>
                  </w:r>
                </w:p>
              </w:tc>
              <w:tc>
                <w:tcPr>
                  <w:tcW w:w="1939" w:type="dxa"/>
                  <w:tcBorders>
                    <w:top w:val="nil"/>
                    <w:left w:val="nil"/>
                    <w:bottom w:val="single" w:sz="8" w:space="0" w:color="000000"/>
                    <w:right w:val="single" w:sz="8" w:space="0" w:color="000000"/>
                  </w:tcBorders>
                  <w:hideMark/>
                </w:tcPr>
                <w:p w14:paraId="1832AA31" w14:textId="77777777" w:rsidR="004C7A8A" w:rsidRDefault="004C7A8A">
                  <w:pPr>
                    <w:jc w:val="center"/>
                    <w:textAlignment w:val="baseline"/>
                    <w:rPr>
                      <w:lang w:val="en-AU" w:eastAsia="en-PH"/>
                    </w:rPr>
                  </w:pPr>
                  <w:r>
                    <w:rPr>
                      <w:lang w:val="en-AU" w:eastAsia="en-PH"/>
                    </w:rPr>
                    <w:t>Macquarie</w:t>
                  </w:r>
                </w:p>
              </w:tc>
              <w:tc>
                <w:tcPr>
                  <w:tcW w:w="5879" w:type="dxa"/>
                  <w:tcBorders>
                    <w:top w:val="nil"/>
                    <w:left w:val="nil"/>
                    <w:bottom w:val="single" w:sz="8" w:space="0" w:color="000000"/>
                    <w:right w:val="single" w:sz="8" w:space="0" w:color="000000"/>
                  </w:tcBorders>
                  <w:hideMark/>
                </w:tcPr>
                <w:p w14:paraId="6AB7D84A" w14:textId="77777777" w:rsidR="004C7A8A" w:rsidRDefault="004C7A8A">
                  <w:pPr>
                    <w:pStyle w:val="ListParagraph"/>
                    <w:numPr>
                      <w:ilvl w:val="0"/>
                      <w:numId w:val="5"/>
                    </w:numPr>
                    <w:spacing w:after="0" w:line="240" w:lineRule="auto"/>
                    <w:textAlignment w:val="baseline"/>
                    <w:rPr>
                      <w:rFonts w:eastAsia="Times New Roman"/>
                      <w:b/>
                      <w:bCs/>
                      <w:lang w:val="en-US" w:eastAsia="en-PH"/>
                    </w:rPr>
                  </w:pPr>
                  <w:r>
                    <w:rPr>
                      <w:rFonts w:eastAsia="Times New Roman"/>
                      <w:b/>
                      <w:bCs/>
                      <w:lang w:val="en-US" w:eastAsia="en-PH"/>
                    </w:rPr>
                    <w:t>Changes to fixed-rate home loan</w:t>
                  </w:r>
                </w:p>
                <w:p w14:paraId="29F17B75" w14:textId="77777777" w:rsidR="004C7A8A" w:rsidRDefault="004C7A8A">
                  <w:pPr>
                    <w:pStyle w:val="ListParagraph"/>
                    <w:numPr>
                      <w:ilvl w:val="1"/>
                      <w:numId w:val="5"/>
                    </w:numPr>
                    <w:spacing w:after="0" w:line="240" w:lineRule="auto"/>
                    <w:textAlignment w:val="baseline"/>
                    <w:rPr>
                      <w:rFonts w:eastAsia="Times New Roman"/>
                      <w:lang w:val="en-US" w:eastAsia="en-PH"/>
                    </w:rPr>
                  </w:pPr>
                  <w:r>
                    <w:rPr>
                      <w:rFonts w:eastAsia="Times New Roman"/>
                      <w:lang w:val="en-US" w:eastAsia="en-PH"/>
                    </w:rPr>
                    <w:t>Increasing of fixed home loan interest rates for new loans.</w:t>
                  </w:r>
                </w:p>
                <w:p w14:paraId="3019F28C" w14:textId="77777777" w:rsidR="004C7A8A" w:rsidRDefault="004C7A8A">
                  <w:pPr>
                    <w:pStyle w:val="ListParagraph"/>
                    <w:numPr>
                      <w:ilvl w:val="1"/>
                      <w:numId w:val="5"/>
                    </w:numPr>
                    <w:spacing w:after="0" w:line="240" w:lineRule="auto"/>
                    <w:textAlignment w:val="baseline"/>
                    <w:rPr>
                      <w:rFonts w:eastAsia="Times New Roman"/>
                      <w:b/>
                      <w:bCs/>
                      <w:lang w:val="en-US" w:eastAsia="en-PH"/>
                    </w:rPr>
                  </w:pPr>
                  <w:r>
                    <w:rPr>
                      <w:rFonts w:eastAsia="Times New Roman"/>
                      <w:lang w:val="en-US" w:eastAsia="en-PH"/>
                    </w:rPr>
                    <w:t>These rates will be effective from Monday 1 November 2021</w:t>
                  </w:r>
                </w:p>
                <w:p w14:paraId="6E7AC3CA" w14:textId="77777777" w:rsidR="004C7A8A" w:rsidRDefault="004C7A8A">
                  <w:pPr>
                    <w:pStyle w:val="ListParagraph"/>
                    <w:numPr>
                      <w:ilvl w:val="0"/>
                      <w:numId w:val="5"/>
                    </w:numPr>
                    <w:spacing w:after="0" w:line="240" w:lineRule="auto"/>
                    <w:textAlignment w:val="baseline"/>
                    <w:rPr>
                      <w:rFonts w:eastAsia="Times New Roman"/>
                      <w:b/>
                      <w:bCs/>
                      <w:lang w:val="en-US" w:eastAsia="en-PH"/>
                    </w:rPr>
                  </w:pPr>
                  <w:r>
                    <w:rPr>
                      <w:rFonts w:eastAsia="Times New Roman"/>
                      <w:b/>
                      <w:bCs/>
                      <w:lang w:val="en-US" w:eastAsia="en-PH"/>
                    </w:rPr>
                    <w:t>Applications in progress</w:t>
                  </w:r>
                </w:p>
                <w:p w14:paraId="76B621E7" w14:textId="77777777" w:rsidR="004C7A8A" w:rsidRDefault="004C7A8A">
                  <w:pPr>
                    <w:pStyle w:val="ListParagraph"/>
                    <w:numPr>
                      <w:ilvl w:val="1"/>
                      <w:numId w:val="5"/>
                    </w:numPr>
                    <w:spacing w:after="0" w:line="240" w:lineRule="auto"/>
                    <w:textAlignment w:val="baseline"/>
                    <w:rPr>
                      <w:rFonts w:eastAsia="Times New Roman"/>
                      <w:lang w:val="en-US" w:eastAsia="en-PH"/>
                    </w:rPr>
                  </w:pPr>
                  <w:r>
                    <w:rPr>
                      <w:rFonts w:eastAsia="Times New Roman"/>
                      <w:lang w:val="en-US" w:eastAsia="en-PH"/>
                    </w:rPr>
                    <w:t>Current fixed rates will apply to loans submitted by close of business Friday 22 October 2021 AND formally approved by close of business Friday 29 October 2021</w:t>
                  </w:r>
                </w:p>
                <w:p w14:paraId="443F8F22" w14:textId="77777777" w:rsidR="004C7A8A" w:rsidRDefault="004C7A8A">
                  <w:pPr>
                    <w:pStyle w:val="ListParagraph"/>
                    <w:numPr>
                      <w:ilvl w:val="1"/>
                      <w:numId w:val="5"/>
                    </w:numPr>
                    <w:spacing w:after="0" w:line="240" w:lineRule="auto"/>
                    <w:textAlignment w:val="baseline"/>
                    <w:rPr>
                      <w:rFonts w:eastAsia="Times New Roman"/>
                      <w:lang w:val="en-US" w:eastAsia="en-PH"/>
                    </w:rPr>
                  </w:pPr>
                  <w:r>
                    <w:rPr>
                      <w:rFonts w:eastAsia="Times New Roman"/>
                      <w:lang w:val="en-US" w:eastAsia="en-PH"/>
                    </w:rPr>
                    <w:t>New fixed rates will automatically be applied to all loans formally approved from Monday 1 November 2021.</w:t>
                  </w:r>
                </w:p>
                <w:p w14:paraId="5562DAB3" w14:textId="77777777" w:rsidR="004C7A8A" w:rsidRDefault="004C7A8A">
                  <w:pPr>
                    <w:textAlignment w:val="baseline"/>
                    <w:rPr>
                      <w:lang w:val="en-US" w:eastAsia="en-PH"/>
                    </w:rPr>
                  </w:pPr>
                  <w:r>
                    <w:rPr>
                      <w:lang w:val="en-US" w:eastAsia="en-PH"/>
                    </w:rPr>
                    <w:t xml:space="preserve">Click </w:t>
                  </w:r>
                  <w:hyperlink r:id="rId8" w:history="1">
                    <w:r>
                      <w:rPr>
                        <w:rStyle w:val="Hyperlink"/>
                        <w:lang w:val="en-US" w:eastAsia="en-PH"/>
                      </w:rPr>
                      <w:t>here</w:t>
                    </w:r>
                  </w:hyperlink>
                  <w:r>
                    <w:rPr>
                      <w:lang w:val="en-US" w:eastAsia="en-PH"/>
                    </w:rPr>
                    <w:t xml:space="preserve"> to find out more about Macquarie Updates</w:t>
                  </w:r>
                </w:p>
              </w:tc>
            </w:tr>
            <w:tr w:rsidR="004C7A8A" w14:paraId="1E928480" w14:textId="77777777" w:rsidTr="004C7A8A">
              <w:tc>
                <w:tcPr>
                  <w:tcW w:w="1526" w:type="dxa"/>
                  <w:tcBorders>
                    <w:top w:val="nil"/>
                    <w:left w:val="single" w:sz="8" w:space="0" w:color="000000"/>
                    <w:bottom w:val="single" w:sz="8" w:space="0" w:color="000000"/>
                    <w:right w:val="single" w:sz="8" w:space="0" w:color="000000"/>
                  </w:tcBorders>
                  <w:hideMark/>
                </w:tcPr>
                <w:p w14:paraId="09BCC4A8" w14:textId="77777777" w:rsidR="004C7A8A" w:rsidRDefault="004C7A8A">
                  <w:pPr>
                    <w:jc w:val="center"/>
                    <w:textAlignment w:val="baseline"/>
                    <w:rPr>
                      <w:lang w:eastAsia="en-PH"/>
                    </w:rPr>
                  </w:pPr>
                  <w:r>
                    <w:rPr>
                      <w:lang w:eastAsia="en-PH"/>
                    </w:rPr>
                    <w:t>21 – Oct</w:t>
                  </w:r>
                </w:p>
              </w:tc>
              <w:tc>
                <w:tcPr>
                  <w:tcW w:w="1939" w:type="dxa"/>
                  <w:tcBorders>
                    <w:top w:val="nil"/>
                    <w:left w:val="nil"/>
                    <w:bottom w:val="single" w:sz="8" w:space="0" w:color="000000"/>
                    <w:right w:val="single" w:sz="8" w:space="0" w:color="000000"/>
                  </w:tcBorders>
                  <w:hideMark/>
                </w:tcPr>
                <w:p w14:paraId="29D1212C" w14:textId="77777777" w:rsidR="004C7A8A" w:rsidRDefault="004C7A8A">
                  <w:pPr>
                    <w:jc w:val="center"/>
                    <w:textAlignment w:val="baseline"/>
                    <w:rPr>
                      <w:lang w:eastAsia="en-PH"/>
                    </w:rPr>
                  </w:pPr>
                  <w:r>
                    <w:rPr>
                      <w:lang w:val="en-AU" w:eastAsia="en-PH"/>
                    </w:rPr>
                    <w:t>ME Bank</w:t>
                  </w:r>
                  <w:r>
                    <w:rPr>
                      <w:lang w:val="en-US" w:eastAsia="en-PH"/>
                    </w:rPr>
                    <w:t> </w:t>
                  </w:r>
                  <w:r>
                    <w:rPr>
                      <w:lang w:eastAsia="en-PH"/>
                    </w:rPr>
                    <w:t> </w:t>
                  </w:r>
                </w:p>
              </w:tc>
              <w:tc>
                <w:tcPr>
                  <w:tcW w:w="5879" w:type="dxa"/>
                  <w:tcBorders>
                    <w:top w:val="nil"/>
                    <w:left w:val="nil"/>
                    <w:bottom w:val="single" w:sz="8" w:space="0" w:color="000000"/>
                    <w:right w:val="single" w:sz="8" w:space="0" w:color="000000"/>
                  </w:tcBorders>
                  <w:hideMark/>
                </w:tcPr>
                <w:p w14:paraId="56F25B0B" w14:textId="77777777" w:rsidR="004C7A8A" w:rsidRDefault="004C7A8A">
                  <w:pPr>
                    <w:pStyle w:val="ListParagraph"/>
                    <w:numPr>
                      <w:ilvl w:val="0"/>
                      <w:numId w:val="5"/>
                    </w:numPr>
                    <w:spacing w:after="0" w:line="240" w:lineRule="auto"/>
                    <w:textAlignment w:val="baseline"/>
                    <w:rPr>
                      <w:rFonts w:eastAsia="Times New Roman"/>
                      <w:b/>
                      <w:bCs/>
                      <w:lang w:eastAsia="en-PH"/>
                    </w:rPr>
                  </w:pPr>
                  <w:r>
                    <w:rPr>
                      <w:rFonts w:eastAsia="Times New Roman"/>
                      <w:b/>
                      <w:bCs/>
                      <w:lang w:eastAsia="en-PH"/>
                    </w:rPr>
                    <w:t>KWIL Implementation</w:t>
                  </w:r>
                </w:p>
                <w:p w14:paraId="2A9B8878"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KWIL is a digital document platform that ME have partnered with that is hosted via ME’s solicitor, Galilee</w:t>
                  </w:r>
                </w:p>
                <w:p w14:paraId="2BCF2469" w14:textId="77777777" w:rsidR="004C7A8A" w:rsidRDefault="004C7A8A">
                  <w:pPr>
                    <w:pStyle w:val="ListParagraph"/>
                    <w:numPr>
                      <w:ilvl w:val="0"/>
                      <w:numId w:val="5"/>
                    </w:numPr>
                    <w:spacing w:after="0" w:line="240" w:lineRule="auto"/>
                    <w:textAlignment w:val="baseline"/>
                    <w:rPr>
                      <w:rFonts w:eastAsia="Times New Roman"/>
                      <w:b/>
                      <w:bCs/>
                      <w:lang w:eastAsia="en-PH"/>
                    </w:rPr>
                  </w:pPr>
                  <w:r>
                    <w:rPr>
                      <w:rFonts w:eastAsia="Times New Roman"/>
                      <w:b/>
                      <w:bCs/>
                      <w:lang w:eastAsia="en-PH"/>
                    </w:rPr>
                    <w:t>Changes that are expected because of the introduction of KWIL</w:t>
                  </w:r>
                </w:p>
                <w:p w14:paraId="44B48831"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If customers are experiencing problems using KWIL, there is a Live Chat function to provide support for any system related issues</w:t>
                  </w:r>
                </w:p>
                <w:p w14:paraId="5CD9948B"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 xml:space="preserve">Brokers will be provided with read only access to KWIL to view your customers loan offer and mortgage documents and track the progress of the signing of these </w:t>
                  </w:r>
                </w:p>
                <w:p w14:paraId="2224830C"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Brokers will receive emails to confirm when digital documents have been issued for a customer and completed by them.</w:t>
                  </w:r>
                </w:p>
                <w:p w14:paraId="6DC42212"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 xml:space="preserve">A speedier process is expected via KWIL, with stats showing that documents are signed and returned on average 10 business days faster than </w:t>
                  </w:r>
                  <w:r>
                    <w:rPr>
                      <w:rFonts w:eastAsia="Times New Roman"/>
                      <w:lang w:eastAsia="en-PH"/>
                    </w:rPr>
                    <w:lastRenderedPageBreak/>
                    <w:t xml:space="preserve">paper documents, as well as the added benefit of system functionality ensuring that documents cannot be returned unsigned or incomplete. </w:t>
                  </w:r>
                </w:p>
                <w:p w14:paraId="185C0E05" w14:textId="77777777" w:rsidR="004C7A8A" w:rsidRDefault="004C7A8A">
                  <w:pPr>
                    <w:pStyle w:val="ListParagraph"/>
                    <w:numPr>
                      <w:ilvl w:val="1"/>
                      <w:numId w:val="5"/>
                    </w:numPr>
                    <w:spacing w:after="0" w:line="240" w:lineRule="auto"/>
                    <w:textAlignment w:val="baseline"/>
                    <w:rPr>
                      <w:rFonts w:eastAsia="Times New Roman"/>
                      <w:b/>
                      <w:bCs/>
                      <w:lang w:eastAsia="en-PH"/>
                    </w:rPr>
                  </w:pPr>
                  <w:r>
                    <w:rPr>
                      <w:rFonts w:eastAsia="Times New Roman"/>
                      <w:lang w:eastAsia="en-PH"/>
                    </w:rPr>
                    <w:t>If the customers preference is to have a hard copy loan pack sent to them instead of using KWIL – no problem, there will be an opportunity to request this by opting out when the application is submitted. Customers will also be given the opportunity to opt-out when the digital documents are sent to them.</w:t>
                  </w:r>
                </w:p>
              </w:tc>
            </w:tr>
            <w:tr w:rsidR="004C7A8A" w14:paraId="4531A034" w14:textId="77777777" w:rsidTr="004C7A8A">
              <w:tc>
                <w:tcPr>
                  <w:tcW w:w="1526" w:type="dxa"/>
                  <w:tcBorders>
                    <w:top w:val="nil"/>
                    <w:left w:val="single" w:sz="8" w:space="0" w:color="000000"/>
                    <w:bottom w:val="single" w:sz="8" w:space="0" w:color="000000"/>
                    <w:right w:val="single" w:sz="8" w:space="0" w:color="000000"/>
                  </w:tcBorders>
                  <w:hideMark/>
                </w:tcPr>
                <w:p w14:paraId="75F1DC31" w14:textId="77777777" w:rsidR="004C7A8A" w:rsidRDefault="004C7A8A">
                  <w:pPr>
                    <w:jc w:val="center"/>
                    <w:textAlignment w:val="baseline"/>
                    <w:rPr>
                      <w:lang w:eastAsia="en-PH"/>
                    </w:rPr>
                  </w:pPr>
                  <w:r>
                    <w:rPr>
                      <w:lang w:eastAsia="en-PH"/>
                    </w:rPr>
                    <w:lastRenderedPageBreak/>
                    <w:t>21 – Oct</w:t>
                  </w:r>
                </w:p>
              </w:tc>
              <w:tc>
                <w:tcPr>
                  <w:tcW w:w="1939" w:type="dxa"/>
                  <w:tcBorders>
                    <w:top w:val="nil"/>
                    <w:left w:val="nil"/>
                    <w:bottom w:val="single" w:sz="8" w:space="0" w:color="000000"/>
                    <w:right w:val="single" w:sz="8" w:space="0" w:color="000000"/>
                  </w:tcBorders>
                  <w:hideMark/>
                </w:tcPr>
                <w:p w14:paraId="5A993EC2" w14:textId="77777777" w:rsidR="004C7A8A" w:rsidRDefault="004C7A8A">
                  <w:pPr>
                    <w:jc w:val="center"/>
                    <w:textAlignment w:val="baseline"/>
                    <w:rPr>
                      <w:lang w:val="en-AU" w:eastAsia="en-PH"/>
                    </w:rPr>
                  </w:pPr>
                  <w:r>
                    <w:rPr>
                      <w:lang w:val="en-AU" w:eastAsia="en-PH"/>
                    </w:rPr>
                    <w:t>MyState Bank</w:t>
                  </w:r>
                </w:p>
              </w:tc>
              <w:tc>
                <w:tcPr>
                  <w:tcW w:w="5879" w:type="dxa"/>
                  <w:tcBorders>
                    <w:top w:val="nil"/>
                    <w:left w:val="nil"/>
                    <w:bottom w:val="single" w:sz="8" w:space="0" w:color="000000"/>
                    <w:right w:val="single" w:sz="8" w:space="0" w:color="000000"/>
                  </w:tcBorders>
                  <w:hideMark/>
                </w:tcPr>
                <w:p w14:paraId="4409752A" w14:textId="77777777" w:rsidR="004C7A8A" w:rsidRDefault="004C7A8A">
                  <w:pPr>
                    <w:pStyle w:val="ListParagraph"/>
                    <w:numPr>
                      <w:ilvl w:val="0"/>
                      <w:numId w:val="5"/>
                    </w:numPr>
                    <w:spacing w:after="0" w:line="240" w:lineRule="auto"/>
                    <w:textAlignment w:val="baseline"/>
                    <w:rPr>
                      <w:rFonts w:eastAsia="Times New Roman"/>
                      <w:lang w:eastAsia="en-PH"/>
                    </w:rPr>
                  </w:pPr>
                  <w:r>
                    <w:rPr>
                      <w:rFonts w:eastAsia="Times New Roman"/>
                      <w:b/>
                      <w:bCs/>
                      <w:lang w:eastAsia="en-PH"/>
                    </w:rPr>
                    <w:t>Rate Changes</w:t>
                  </w:r>
                </w:p>
                <w:p w14:paraId="39E09A2F"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Increasing some of our Owner Occupied (Principal and Interest) fixed rate loans (1,2- &amp; 3-year terms) for new customers where the LVR is &lt;=80% by 0.30%.</w:t>
                  </w:r>
                </w:p>
                <w:p w14:paraId="7887D350"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Introduction of a new LVR rate tier (&lt;=70%) for Owner Occupied (Principal and Interest), fixed rate loans (1, 2- &amp; 3-year terms).</w:t>
                  </w:r>
                </w:p>
                <w:p w14:paraId="0DC2A6E4" w14:textId="77777777" w:rsidR="004C7A8A" w:rsidRDefault="004C7A8A">
                  <w:pPr>
                    <w:pStyle w:val="ListParagraph"/>
                    <w:numPr>
                      <w:ilvl w:val="0"/>
                      <w:numId w:val="5"/>
                    </w:numPr>
                    <w:spacing w:after="0" w:line="240" w:lineRule="auto"/>
                    <w:textAlignment w:val="baseline"/>
                    <w:rPr>
                      <w:rFonts w:eastAsia="Times New Roman"/>
                      <w:b/>
                      <w:bCs/>
                      <w:lang w:eastAsia="en-PH"/>
                    </w:rPr>
                  </w:pPr>
                  <w:r>
                    <w:rPr>
                      <w:rFonts w:eastAsia="Times New Roman"/>
                      <w:b/>
                      <w:bCs/>
                      <w:lang w:eastAsia="en-PH"/>
                    </w:rPr>
                    <w:t>Refinance Cash-back offer extended</w:t>
                  </w:r>
                </w:p>
                <w:p w14:paraId="7F8931FF"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Extension of refinance cash-back offer for eligible loan applications submitted between 4 October 2021 and 30 November 2021 (Offer Period) and settle no later than 28 February 2022.</w:t>
                  </w:r>
                </w:p>
                <w:p w14:paraId="4D4FF42E"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The loan to value ratio (LVR) must be less than 80%. Offer period can be adjusted at any-time</w:t>
                  </w:r>
                </w:p>
                <w:p w14:paraId="0F575BF6"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For any deals yet to be submitted that meet the extended cashback criteria, these must be submitted no later than 5:30pm, 29 November 2021</w:t>
                  </w:r>
                </w:p>
                <w:p w14:paraId="256F9847"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Terms and Conditions Apply</w:t>
                  </w:r>
                </w:p>
              </w:tc>
            </w:tr>
            <w:tr w:rsidR="004C7A8A" w14:paraId="48422086" w14:textId="77777777" w:rsidTr="004C7A8A">
              <w:tc>
                <w:tcPr>
                  <w:tcW w:w="1526" w:type="dxa"/>
                  <w:tcBorders>
                    <w:top w:val="nil"/>
                    <w:left w:val="single" w:sz="8" w:space="0" w:color="000000"/>
                    <w:bottom w:val="single" w:sz="8" w:space="0" w:color="000000"/>
                    <w:right w:val="single" w:sz="8" w:space="0" w:color="000000"/>
                  </w:tcBorders>
                  <w:hideMark/>
                </w:tcPr>
                <w:p w14:paraId="1BDBBE83" w14:textId="77777777" w:rsidR="004C7A8A" w:rsidRDefault="004C7A8A">
                  <w:pPr>
                    <w:jc w:val="center"/>
                    <w:textAlignment w:val="baseline"/>
                    <w:rPr>
                      <w:lang w:eastAsia="en-PH"/>
                    </w:rPr>
                  </w:pPr>
                  <w:r>
                    <w:rPr>
                      <w:lang w:eastAsia="en-PH"/>
                    </w:rPr>
                    <w:t>1 – Nov</w:t>
                  </w:r>
                </w:p>
              </w:tc>
              <w:tc>
                <w:tcPr>
                  <w:tcW w:w="1939" w:type="dxa"/>
                  <w:vMerge w:val="restart"/>
                  <w:tcBorders>
                    <w:top w:val="nil"/>
                    <w:left w:val="nil"/>
                    <w:bottom w:val="single" w:sz="8" w:space="0" w:color="000000"/>
                    <w:right w:val="single" w:sz="8" w:space="0" w:color="000000"/>
                  </w:tcBorders>
                  <w:hideMark/>
                </w:tcPr>
                <w:p w14:paraId="58287657" w14:textId="77777777" w:rsidR="004C7A8A" w:rsidRDefault="004C7A8A">
                  <w:pPr>
                    <w:jc w:val="center"/>
                    <w:textAlignment w:val="baseline"/>
                    <w:rPr>
                      <w:lang w:val="en-AU" w:eastAsia="en-PH"/>
                    </w:rPr>
                  </w:pPr>
                  <w:r>
                    <w:rPr>
                      <w:lang w:val="en-AU" w:eastAsia="en-PH"/>
                    </w:rPr>
                    <w:t>NAB</w:t>
                  </w:r>
                </w:p>
              </w:tc>
              <w:tc>
                <w:tcPr>
                  <w:tcW w:w="5879" w:type="dxa"/>
                  <w:tcBorders>
                    <w:top w:val="nil"/>
                    <w:left w:val="nil"/>
                    <w:bottom w:val="single" w:sz="8" w:space="0" w:color="000000"/>
                    <w:right w:val="single" w:sz="8" w:space="0" w:color="000000"/>
                  </w:tcBorders>
                  <w:hideMark/>
                </w:tcPr>
                <w:p w14:paraId="2350BDC6" w14:textId="77777777" w:rsidR="004C7A8A" w:rsidRDefault="004C7A8A">
                  <w:pPr>
                    <w:pStyle w:val="ListParagraph"/>
                    <w:numPr>
                      <w:ilvl w:val="0"/>
                      <w:numId w:val="5"/>
                    </w:numPr>
                    <w:spacing w:after="0" w:line="240" w:lineRule="auto"/>
                    <w:textAlignment w:val="baseline"/>
                    <w:rPr>
                      <w:rFonts w:eastAsia="Times New Roman"/>
                      <w:b/>
                      <w:bCs/>
                      <w:lang w:eastAsia="en-PH"/>
                    </w:rPr>
                  </w:pPr>
                  <w:r>
                    <w:rPr>
                      <w:rFonts w:eastAsia="Times New Roman"/>
                      <w:b/>
                      <w:bCs/>
                      <w:lang w:eastAsia="en-PH"/>
                    </w:rPr>
                    <w:t>Update to NAB Serviceability Calculator</w:t>
                  </w:r>
                </w:p>
                <w:p w14:paraId="6B8D2A6C" w14:textId="77777777" w:rsidR="004C7A8A" w:rsidRDefault="004C7A8A">
                  <w:pPr>
                    <w:pStyle w:val="ListParagraph"/>
                    <w:numPr>
                      <w:ilvl w:val="1"/>
                      <w:numId w:val="5"/>
                    </w:numPr>
                    <w:spacing w:after="0" w:line="240" w:lineRule="auto"/>
                    <w:textAlignment w:val="baseline"/>
                    <w:rPr>
                      <w:rFonts w:eastAsia="Times New Roman"/>
                      <w:b/>
                      <w:bCs/>
                      <w:lang w:eastAsia="en-PH"/>
                    </w:rPr>
                  </w:pPr>
                  <w:r>
                    <w:rPr>
                      <w:rFonts w:eastAsia="Times New Roman"/>
                      <w:b/>
                      <w:bCs/>
                      <w:lang w:eastAsia="en-PH"/>
                    </w:rPr>
                    <w:t>Update Version 48a</w:t>
                  </w:r>
                </w:p>
                <w:p w14:paraId="21A154BE" w14:textId="77777777" w:rsidR="004C7A8A" w:rsidRDefault="004C7A8A">
                  <w:pPr>
                    <w:pStyle w:val="ListParagraph"/>
                    <w:numPr>
                      <w:ilvl w:val="2"/>
                      <w:numId w:val="5"/>
                    </w:numPr>
                    <w:spacing w:after="0" w:line="240" w:lineRule="auto"/>
                    <w:textAlignment w:val="baseline"/>
                    <w:rPr>
                      <w:rFonts w:eastAsia="Times New Roman"/>
                      <w:lang w:eastAsia="en-PH"/>
                    </w:rPr>
                  </w:pPr>
                  <w:r>
                    <w:rPr>
                      <w:rFonts w:eastAsia="Times New Roman"/>
                      <w:lang w:eastAsia="en-PH"/>
                    </w:rPr>
                    <w:t>Interest rate buffer of 2.5% (current)</w:t>
                  </w:r>
                </w:p>
                <w:p w14:paraId="453CB8E4" w14:textId="77777777" w:rsidR="004C7A8A" w:rsidRDefault="004C7A8A">
                  <w:pPr>
                    <w:pStyle w:val="ListParagraph"/>
                    <w:numPr>
                      <w:ilvl w:val="2"/>
                      <w:numId w:val="5"/>
                    </w:numPr>
                    <w:spacing w:after="0" w:line="240" w:lineRule="auto"/>
                    <w:textAlignment w:val="baseline"/>
                    <w:rPr>
                      <w:rFonts w:eastAsia="Times New Roman"/>
                      <w:b/>
                      <w:bCs/>
                      <w:lang w:eastAsia="en-PH"/>
                    </w:rPr>
                  </w:pPr>
                  <w:r>
                    <w:rPr>
                      <w:rFonts w:eastAsia="Times New Roman"/>
                      <w:lang w:eastAsia="en-PH"/>
                    </w:rPr>
                    <w:t>Updated version with a warning message that this version is to be used for applications submitted and approved prior to 11:59pm 31 October 2021</w:t>
                  </w:r>
                </w:p>
                <w:p w14:paraId="458DE1B0" w14:textId="77777777" w:rsidR="004C7A8A" w:rsidRDefault="004C7A8A">
                  <w:pPr>
                    <w:pStyle w:val="ListParagraph"/>
                    <w:numPr>
                      <w:ilvl w:val="1"/>
                      <w:numId w:val="5"/>
                    </w:numPr>
                    <w:spacing w:after="0" w:line="240" w:lineRule="auto"/>
                    <w:textAlignment w:val="baseline"/>
                    <w:rPr>
                      <w:rFonts w:eastAsia="Times New Roman"/>
                      <w:b/>
                      <w:bCs/>
                      <w:lang w:eastAsia="en-PH"/>
                    </w:rPr>
                  </w:pPr>
                  <w:r>
                    <w:rPr>
                      <w:rFonts w:eastAsia="Times New Roman"/>
                      <w:b/>
                      <w:bCs/>
                      <w:lang w:eastAsia="en-PH"/>
                    </w:rPr>
                    <w:t>Update Version 49</w:t>
                  </w:r>
                </w:p>
                <w:p w14:paraId="6F17F520" w14:textId="77777777" w:rsidR="004C7A8A" w:rsidRDefault="004C7A8A">
                  <w:pPr>
                    <w:pStyle w:val="ListParagraph"/>
                    <w:numPr>
                      <w:ilvl w:val="2"/>
                      <w:numId w:val="5"/>
                    </w:numPr>
                    <w:spacing w:after="0" w:line="240" w:lineRule="auto"/>
                    <w:textAlignment w:val="baseline"/>
                    <w:rPr>
                      <w:rFonts w:eastAsia="Times New Roman"/>
                      <w:lang w:eastAsia="en-PH"/>
                    </w:rPr>
                  </w:pPr>
                  <w:r>
                    <w:rPr>
                      <w:rFonts w:eastAsia="Times New Roman"/>
                      <w:lang w:eastAsia="en-PH"/>
                    </w:rPr>
                    <w:t>Interest rate buffer of 3.0% (updated)</w:t>
                  </w:r>
                </w:p>
                <w:p w14:paraId="0523C4D0" w14:textId="77777777" w:rsidR="004C7A8A" w:rsidRDefault="004C7A8A">
                  <w:pPr>
                    <w:pStyle w:val="ListParagraph"/>
                    <w:numPr>
                      <w:ilvl w:val="2"/>
                      <w:numId w:val="5"/>
                    </w:numPr>
                    <w:spacing w:after="0" w:line="240" w:lineRule="auto"/>
                    <w:textAlignment w:val="baseline"/>
                    <w:rPr>
                      <w:rFonts w:eastAsia="Times New Roman"/>
                      <w:b/>
                      <w:bCs/>
                      <w:lang w:eastAsia="en-PH"/>
                    </w:rPr>
                  </w:pPr>
                  <w:r>
                    <w:rPr>
                      <w:rFonts w:eastAsia="Times New Roman"/>
                      <w:lang w:eastAsia="en-PH"/>
                    </w:rPr>
                    <w:t>To be used for applications to be processed and approved post 11:59pm 31st October 2021</w:t>
                  </w:r>
                </w:p>
              </w:tc>
            </w:tr>
            <w:tr w:rsidR="004C7A8A" w14:paraId="11416963" w14:textId="77777777" w:rsidTr="004C7A8A">
              <w:tc>
                <w:tcPr>
                  <w:tcW w:w="1526" w:type="dxa"/>
                  <w:tcBorders>
                    <w:top w:val="nil"/>
                    <w:left w:val="single" w:sz="8" w:space="0" w:color="000000"/>
                    <w:bottom w:val="single" w:sz="8" w:space="0" w:color="000000"/>
                    <w:right w:val="single" w:sz="8" w:space="0" w:color="000000"/>
                  </w:tcBorders>
                  <w:hideMark/>
                </w:tcPr>
                <w:p w14:paraId="2BE6A107" w14:textId="77777777" w:rsidR="004C7A8A" w:rsidRDefault="004C7A8A">
                  <w:pPr>
                    <w:jc w:val="center"/>
                    <w:textAlignment w:val="baseline"/>
                    <w:rPr>
                      <w:lang w:eastAsia="en-PH"/>
                    </w:rPr>
                  </w:pPr>
                  <w:r>
                    <w:rPr>
                      <w:lang w:eastAsia="en-PH"/>
                    </w:rPr>
                    <w:t>30 – Nov</w:t>
                  </w:r>
                </w:p>
              </w:tc>
              <w:tc>
                <w:tcPr>
                  <w:tcW w:w="0" w:type="auto"/>
                  <w:vMerge/>
                  <w:tcBorders>
                    <w:top w:val="nil"/>
                    <w:left w:val="nil"/>
                    <w:bottom w:val="single" w:sz="8" w:space="0" w:color="000000"/>
                    <w:right w:val="single" w:sz="8" w:space="0" w:color="000000"/>
                  </w:tcBorders>
                  <w:vAlign w:val="center"/>
                  <w:hideMark/>
                </w:tcPr>
                <w:p w14:paraId="49BC560B" w14:textId="77777777" w:rsidR="004C7A8A" w:rsidRDefault="004C7A8A">
                  <w:pPr>
                    <w:rPr>
                      <w:rFonts w:ascii="Calibri" w:hAnsi="Calibri" w:cs="Calibri"/>
                      <w:lang w:val="en-AU" w:eastAsia="en-PH"/>
                    </w:rPr>
                  </w:pPr>
                </w:p>
              </w:tc>
              <w:tc>
                <w:tcPr>
                  <w:tcW w:w="5879" w:type="dxa"/>
                  <w:tcBorders>
                    <w:top w:val="nil"/>
                    <w:left w:val="nil"/>
                    <w:bottom w:val="single" w:sz="8" w:space="0" w:color="000000"/>
                    <w:right w:val="single" w:sz="8" w:space="0" w:color="000000"/>
                  </w:tcBorders>
                  <w:hideMark/>
                </w:tcPr>
                <w:p w14:paraId="593DCF4B" w14:textId="77777777" w:rsidR="004C7A8A" w:rsidRDefault="004C7A8A">
                  <w:pPr>
                    <w:pStyle w:val="ListParagraph"/>
                    <w:numPr>
                      <w:ilvl w:val="0"/>
                      <w:numId w:val="5"/>
                    </w:numPr>
                    <w:spacing w:after="0" w:line="240" w:lineRule="auto"/>
                    <w:textAlignment w:val="baseline"/>
                    <w:rPr>
                      <w:rFonts w:eastAsia="Times New Roman"/>
                      <w:b/>
                      <w:bCs/>
                      <w:lang w:eastAsia="en-PH"/>
                    </w:rPr>
                  </w:pPr>
                  <w:r>
                    <w:rPr>
                      <w:rFonts w:eastAsia="Times New Roman"/>
                      <w:b/>
                      <w:bCs/>
                      <w:lang w:eastAsia="en-PH"/>
                    </w:rPr>
                    <w:t>Refinance Cash-back offer extended to 30 November 2021</w:t>
                  </w:r>
                </w:p>
                <w:p w14:paraId="33464E48"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 xml:space="preserve">Extension our refinance cash-back offer for eligible loan applications submitted between 4 </w:t>
                  </w:r>
                  <w:r>
                    <w:rPr>
                      <w:rFonts w:eastAsia="Times New Roman"/>
                      <w:lang w:eastAsia="en-PH"/>
                    </w:rPr>
                    <w:lastRenderedPageBreak/>
                    <w:t>October 2021 and 30 November 2021 (Offer Period) and settle no later than 28 February 2022</w:t>
                  </w:r>
                </w:p>
                <w:p w14:paraId="2B35F86C" w14:textId="77777777" w:rsidR="004C7A8A" w:rsidRDefault="004C7A8A">
                  <w:pPr>
                    <w:pStyle w:val="ListParagraph"/>
                    <w:numPr>
                      <w:ilvl w:val="0"/>
                      <w:numId w:val="5"/>
                    </w:numPr>
                    <w:spacing w:after="0" w:line="240" w:lineRule="auto"/>
                    <w:textAlignment w:val="baseline"/>
                    <w:rPr>
                      <w:rFonts w:eastAsia="Times New Roman"/>
                      <w:i/>
                      <w:iCs/>
                      <w:lang w:eastAsia="en-PH"/>
                    </w:rPr>
                  </w:pPr>
                  <w:r>
                    <w:rPr>
                      <w:rFonts w:eastAsia="Times New Roman"/>
                      <w:i/>
                      <w:iCs/>
                      <w:lang w:eastAsia="en-PH"/>
                    </w:rPr>
                    <w:t>The refinance amount excludes cash out, top-ups and new loans. The loan to value ratio (LVR) must be less than 80%. Offer period can be adjusted at any-time.</w:t>
                  </w:r>
                </w:p>
                <w:p w14:paraId="50882006" w14:textId="77777777" w:rsidR="004C7A8A" w:rsidRDefault="004C7A8A">
                  <w:pPr>
                    <w:pStyle w:val="ListParagraph"/>
                    <w:numPr>
                      <w:ilvl w:val="0"/>
                      <w:numId w:val="5"/>
                    </w:numPr>
                    <w:spacing w:after="0" w:line="240" w:lineRule="auto"/>
                    <w:textAlignment w:val="baseline"/>
                    <w:rPr>
                      <w:rFonts w:eastAsia="Times New Roman"/>
                      <w:lang w:eastAsia="en-PH"/>
                    </w:rPr>
                  </w:pPr>
                  <w:r>
                    <w:rPr>
                      <w:rFonts w:eastAsia="Times New Roman"/>
                      <w:lang w:eastAsia="en-PH"/>
                    </w:rPr>
                    <w:t>For any deals yet to be submitted that meet the extended cashback criteria, these must be submitted no later than 5:30pm, 29 November 2021.</w:t>
                  </w:r>
                </w:p>
              </w:tc>
            </w:tr>
            <w:tr w:rsidR="004C7A8A" w14:paraId="428CB47D" w14:textId="77777777" w:rsidTr="004C7A8A">
              <w:tc>
                <w:tcPr>
                  <w:tcW w:w="1526" w:type="dxa"/>
                  <w:tcBorders>
                    <w:top w:val="nil"/>
                    <w:left w:val="single" w:sz="8" w:space="0" w:color="000000"/>
                    <w:bottom w:val="single" w:sz="8" w:space="0" w:color="000000"/>
                    <w:right w:val="single" w:sz="8" w:space="0" w:color="000000"/>
                  </w:tcBorders>
                  <w:hideMark/>
                </w:tcPr>
                <w:p w14:paraId="1574C153" w14:textId="77777777" w:rsidR="004C7A8A" w:rsidRDefault="004C7A8A">
                  <w:pPr>
                    <w:jc w:val="center"/>
                    <w:textAlignment w:val="baseline"/>
                    <w:rPr>
                      <w:lang w:eastAsia="en-PH"/>
                    </w:rPr>
                  </w:pPr>
                  <w:r>
                    <w:rPr>
                      <w:lang w:eastAsia="en-PH"/>
                    </w:rPr>
                    <w:lastRenderedPageBreak/>
                    <w:t>29 - Oct</w:t>
                  </w:r>
                </w:p>
              </w:tc>
              <w:tc>
                <w:tcPr>
                  <w:tcW w:w="1939" w:type="dxa"/>
                  <w:tcBorders>
                    <w:top w:val="nil"/>
                    <w:left w:val="nil"/>
                    <w:bottom w:val="single" w:sz="8" w:space="0" w:color="auto"/>
                    <w:right w:val="single" w:sz="8" w:space="0" w:color="000000"/>
                  </w:tcBorders>
                  <w:hideMark/>
                </w:tcPr>
                <w:p w14:paraId="3B295622" w14:textId="77777777" w:rsidR="004C7A8A" w:rsidRDefault="004C7A8A">
                  <w:pPr>
                    <w:jc w:val="center"/>
                    <w:textAlignment w:val="baseline"/>
                    <w:rPr>
                      <w:lang w:val="en-AU" w:eastAsia="en-PH"/>
                    </w:rPr>
                  </w:pPr>
                  <w:r>
                    <w:rPr>
                      <w:lang w:val="en-AU" w:eastAsia="en-PH"/>
                    </w:rPr>
                    <w:t xml:space="preserve">St. George, Bank of Melbourne, </w:t>
                  </w:r>
                  <w:proofErr w:type="spellStart"/>
                  <w:r>
                    <w:rPr>
                      <w:lang w:val="en-AU" w:eastAsia="en-PH"/>
                    </w:rPr>
                    <w:t>BankSA</w:t>
                  </w:r>
                  <w:proofErr w:type="spellEnd"/>
                </w:p>
              </w:tc>
              <w:tc>
                <w:tcPr>
                  <w:tcW w:w="5879" w:type="dxa"/>
                  <w:tcBorders>
                    <w:top w:val="nil"/>
                    <w:left w:val="nil"/>
                    <w:bottom w:val="single" w:sz="8" w:space="0" w:color="000000"/>
                    <w:right w:val="single" w:sz="8" w:space="0" w:color="000000"/>
                  </w:tcBorders>
                  <w:hideMark/>
                </w:tcPr>
                <w:p w14:paraId="3BDA2D0B" w14:textId="77777777" w:rsidR="004C7A8A" w:rsidRDefault="004C7A8A">
                  <w:pPr>
                    <w:pStyle w:val="ListParagraph"/>
                    <w:numPr>
                      <w:ilvl w:val="0"/>
                      <w:numId w:val="5"/>
                    </w:numPr>
                    <w:spacing w:after="0" w:line="240" w:lineRule="auto"/>
                    <w:textAlignment w:val="baseline"/>
                    <w:rPr>
                      <w:rFonts w:eastAsia="Times New Roman"/>
                      <w:b/>
                      <w:bCs/>
                      <w:lang w:eastAsia="en-PH"/>
                    </w:rPr>
                  </w:pPr>
                  <w:r>
                    <w:rPr>
                      <w:rFonts w:eastAsia="Times New Roman"/>
                      <w:b/>
                      <w:bCs/>
                      <w:lang w:eastAsia="en-PH"/>
                    </w:rPr>
                    <w:t>Home loan buffer rate changes</w:t>
                  </w:r>
                </w:p>
                <w:p w14:paraId="3BFEDEE8"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In line with the updated APRA guidance, changes have been made to the Consumer Credit Policy.</w:t>
                  </w:r>
                </w:p>
                <w:p w14:paraId="3BBA30F0" w14:textId="77777777" w:rsidR="004C7A8A" w:rsidRDefault="004C7A8A">
                  <w:pPr>
                    <w:pStyle w:val="ListParagraph"/>
                    <w:numPr>
                      <w:ilvl w:val="1"/>
                      <w:numId w:val="5"/>
                    </w:numPr>
                    <w:spacing w:after="0" w:line="240" w:lineRule="auto"/>
                    <w:textAlignment w:val="baseline"/>
                    <w:rPr>
                      <w:rFonts w:eastAsia="Times New Roman"/>
                      <w:b/>
                      <w:bCs/>
                      <w:lang w:eastAsia="en-PH"/>
                    </w:rPr>
                  </w:pPr>
                  <w:r>
                    <w:rPr>
                      <w:rFonts w:eastAsia="Times New Roman"/>
                      <w:lang w:eastAsia="en-PH"/>
                    </w:rPr>
                    <w:t>Effective Friday 29 October 2021, the serviceability buffer rate is increased from 2.50% p.a. to 3.00% p.a.</w:t>
                  </w:r>
                </w:p>
                <w:p w14:paraId="70F44C0A" w14:textId="77777777" w:rsidR="004C7A8A" w:rsidRDefault="004C7A8A">
                  <w:pPr>
                    <w:pStyle w:val="ListParagraph"/>
                    <w:numPr>
                      <w:ilvl w:val="0"/>
                      <w:numId w:val="5"/>
                    </w:numPr>
                    <w:spacing w:after="0" w:line="240" w:lineRule="auto"/>
                    <w:textAlignment w:val="baseline"/>
                    <w:rPr>
                      <w:rFonts w:eastAsia="Times New Roman"/>
                      <w:b/>
                      <w:bCs/>
                      <w:lang w:eastAsia="en-PH"/>
                    </w:rPr>
                  </w:pPr>
                  <w:r>
                    <w:rPr>
                      <w:rFonts w:eastAsia="Times New Roman"/>
                      <w:b/>
                      <w:bCs/>
                      <w:lang w:eastAsia="en-PH"/>
                    </w:rPr>
                    <w:t>Buffer rate change details</w:t>
                  </w:r>
                </w:p>
                <w:p w14:paraId="67160834" w14:textId="77777777" w:rsidR="004C7A8A" w:rsidRDefault="004C7A8A">
                  <w:pPr>
                    <w:pStyle w:val="ListParagraph"/>
                    <w:numPr>
                      <w:ilvl w:val="1"/>
                      <w:numId w:val="5"/>
                    </w:numPr>
                    <w:rPr>
                      <w:rFonts w:eastAsia="Times New Roman"/>
                      <w:lang w:eastAsia="en-PH"/>
                    </w:rPr>
                  </w:pPr>
                  <w:r>
                    <w:rPr>
                      <w:rFonts w:eastAsia="Times New Roman"/>
                      <w:lang w:eastAsia="en-PH"/>
                    </w:rPr>
                    <w:t>The new buffer rate will be applied for any application received on or after Friday 29 October 2021.</w:t>
                  </w:r>
                </w:p>
                <w:p w14:paraId="5345945F" w14:textId="77777777" w:rsidR="004C7A8A" w:rsidRDefault="004C7A8A">
                  <w:pPr>
                    <w:pStyle w:val="ListParagraph"/>
                    <w:numPr>
                      <w:ilvl w:val="1"/>
                      <w:numId w:val="5"/>
                    </w:numPr>
                    <w:rPr>
                      <w:rFonts w:eastAsia="Times New Roman"/>
                      <w:lang w:eastAsia="en-PH"/>
                    </w:rPr>
                  </w:pPr>
                  <w:r>
                    <w:rPr>
                      <w:rFonts w:eastAsia="Times New Roman"/>
                      <w:lang w:eastAsia="en-PH"/>
                    </w:rPr>
                    <w:t xml:space="preserve">Applications received via </w:t>
                  </w:r>
                  <w:proofErr w:type="spellStart"/>
                  <w:r>
                    <w:rPr>
                      <w:rFonts w:eastAsia="Times New Roman"/>
                      <w:lang w:eastAsia="en-PH"/>
                    </w:rPr>
                    <w:t>ApplyOnline</w:t>
                  </w:r>
                  <w:proofErr w:type="spellEnd"/>
                  <w:r>
                    <w:rPr>
                      <w:rFonts w:eastAsia="Times New Roman"/>
                      <w:lang w:eastAsia="en-PH"/>
                    </w:rPr>
                    <w:t xml:space="preserve"> up to and including Thursday 28 October 2021 that are accompanied by standard supporting documents sufficient to allow the assessment of the application, will have the previous buffer rate of 2.50% p.a. applied where pipeline policy is met.</w:t>
                  </w:r>
                </w:p>
                <w:p w14:paraId="2F59E66A" w14:textId="77777777" w:rsidR="004C7A8A" w:rsidRDefault="004C7A8A">
                  <w:pPr>
                    <w:pStyle w:val="ListParagraph"/>
                    <w:numPr>
                      <w:ilvl w:val="1"/>
                      <w:numId w:val="5"/>
                    </w:numPr>
                    <w:rPr>
                      <w:rFonts w:eastAsia="Times New Roman"/>
                      <w:lang w:eastAsia="en-PH"/>
                    </w:rPr>
                  </w:pPr>
                  <w:r>
                    <w:rPr>
                      <w:rFonts w:eastAsia="Times New Roman"/>
                      <w:lang w:eastAsia="en-PH"/>
                    </w:rPr>
                    <w:t xml:space="preserve">Calculators in </w:t>
                  </w:r>
                  <w:proofErr w:type="spellStart"/>
                  <w:r>
                    <w:rPr>
                      <w:rFonts w:eastAsia="Times New Roman"/>
                      <w:lang w:eastAsia="en-PH"/>
                    </w:rPr>
                    <w:t>ApplyOnline</w:t>
                  </w:r>
                  <w:proofErr w:type="spellEnd"/>
                  <w:r>
                    <w:rPr>
                      <w:rFonts w:eastAsia="Times New Roman"/>
                      <w:lang w:eastAsia="en-PH"/>
                    </w:rPr>
                    <w:t xml:space="preserve"> will be updated to reflect this change from Friday 29 October 2021.</w:t>
                  </w:r>
                </w:p>
                <w:p w14:paraId="26E94B8C" w14:textId="77777777" w:rsidR="004C7A8A" w:rsidRDefault="004C7A8A">
                  <w:pPr>
                    <w:pStyle w:val="ListParagraph"/>
                    <w:numPr>
                      <w:ilvl w:val="0"/>
                      <w:numId w:val="5"/>
                    </w:numPr>
                    <w:rPr>
                      <w:rFonts w:eastAsia="Times New Roman"/>
                      <w:b/>
                      <w:bCs/>
                      <w:lang w:eastAsia="en-PH"/>
                    </w:rPr>
                  </w:pPr>
                  <w:r>
                    <w:rPr>
                      <w:rFonts w:eastAsia="Times New Roman"/>
                      <w:b/>
                      <w:bCs/>
                      <w:lang w:eastAsia="en-PH"/>
                    </w:rPr>
                    <w:t>Benchmark Rate</w:t>
                  </w:r>
                </w:p>
                <w:p w14:paraId="5F0407EF" w14:textId="77777777" w:rsidR="004C7A8A" w:rsidRDefault="004C7A8A">
                  <w:pPr>
                    <w:pStyle w:val="ListParagraph"/>
                    <w:numPr>
                      <w:ilvl w:val="1"/>
                      <w:numId w:val="5"/>
                    </w:numPr>
                    <w:rPr>
                      <w:rFonts w:eastAsia="Times New Roman"/>
                      <w:lang w:eastAsia="en-PH"/>
                    </w:rPr>
                  </w:pPr>
                  <w:r>
                    <w:rPr>
                      <w:rFonts w:eastAsia="Times New Roman"/>
                      <w:lang w:eastAsia="en-PH"/>
                    </w:rPr>
                    <w:t>If the current standard variable rate (less any packaged discount or interest rate adjustment) plus the interest rate buffer of 3.00% p.a. is less than the 5.05% p.a. floor rate, then the floor rate is applied as the BR.</w:t>
                  </w:r>
                </w:p>
                <w:p w14:paraId="38B14001" w14:textId="77777777" w:rsidR="004C7A8A" w:rsidRDefault="004C7A8A">
                  <w:pPr>
                    <w:pStyle w:val="ListParagraph"/>
                    <w:numPr>
                      <w:ilvl w:val="1"/>
                      <w:numId w:val="5"/>
                    </w:numPr>
                    <w:rPr>
                      <w:rFonts w:eastAsia="Times New Roman"/>
                      <w:lang w:eastAsia="en-PH"/>
                    </w:rPr>
                  </w:pPr>
                  <w:r>
                    <w:rPr>
                      <w:rFonts w:eastAsia="Times New Roman"/>
                      <w:lang w:eastAsia="en-PH"/>
                    </w:rPr>
                    <w:t>If the current standard variable rate (less any packaged discount or interest rate adjustment) plus the interest rate buffer of 3.00% p.a. is greater than the 5.05% p.a. floor rate, then the rate on the loan plus the interest rate buffer is applied as the BR.</w:t>
                  </w:r>
                </w:p>
                <w:p w14:paraId="02F13A96" w14:textId="77777777" w:rsidR="004C7A8A" w:rsidRDefault="004C7A8A">
                  <w:pPr>
                    <w:textAlignment w:val="baseline"/>
                    <w:rPr>
                      <w:lang w:eastAsia="en-PH"/>
                    </w:rPr>
                  </w:pPr>
                  <w:r>
                    <w:rPr>
                      <w:lang w:eastAsia="en-PH"/>
                    </w:rPr>
                    <w:t xml:space="preserve">Click </w:t>
                  </w:r>
                  <w:hyperlink r:id="rId9" w:history="1">
                    <w:r>
                      <w:rPr>
                        <w:rStyle w:val="Hyperlink"/>
                        <w:lang w:eastAsia="en-PH"/>
                      </w:rPr>
                      <w:t>here</w:t>
                    </w:r>
                  </w:hyperlink>
                  <w:r>
                    <w:rPr>
                      <w:lang w:eastAsia="en-PH"/>
                    </w:rPr>
                    <w:t xml:space="preserve"> to find out more about </w:t>
                  </w:r>
                  <w:proofErr w:type="spellStart"/>
                  <w:r>
                    <w:rPr>
                      <w:lang w:eastAsia="en-PH"/>
                    </w:rPr>
                    <w:t>BankSA</w:t>
                  </w:r>
                  <w:proofErr w:type="spellEnd"/>
                  <w:r>
                    <w:rPr>
                      <w:lang w:eastAsia="en-PH"/>
                    </w:rPr>
                    <w:t xml:space="preserve"> updates.</w:t>
                  </w:r>
                </w:p>
                <w:p w14:paraId="7B614642" w14:textId="77777777" w:rsidR="004C7A8A" w:rsidRDefault="004C7A8A">
                  <w:pPr>
                    <w:textAlignment w:val="baseline"/>
                    <w:rPr>
                      <w:lang w:eastAsia="en-PH"/>
                    </w:rPr>
                  </w:pPr>
                  <w:r>
                    <w:rPr>
                      <w:lang w:eastAsia="en-PH"/>
                    </w:rPr>
                    <w:t xml:space="preserve">Click </w:t>
                  </w:r>
                  <w:hyperlink r:id="rId10" w:history="1">
                    <w:r>
                      <w:rPr>
                        <w:rStyle w:val="Hyperlink"/>
                        <w:lang w:eastAsia="en-PH"/>
                      </w:rPr>
                      <w:t>here</w:t>
                    </w:r>
                  </w:hyperlink>
                  <w:r>
                    <w:rPr>
                      <w:lang w:eastAsia="en-PH"/>
                    </w:rPr>
                    <w:t xml:space="preserve"> to find out more about St. George updates.</w:t>
                  </w:r>
                </w:p>
                <w:p w14:paraId="5DD153E7" w14:textId="77777777" w:rsidR="004C7A8A" w:rsidRDefault="004C7A8A">
                  <w:pPr>
                    <w:textAlignment w:val="baseline"/>
                    <w:rPr>
                      <w:lang w:eastAsia="en-PH"/>
                    </w:rPr>
                  </w:pPr>
                  <w:r>
                    <w:rPr>
                      <w:lang w:eastAsia="en-PH"/>
                    </w:rPr>
                    <w:t xml:space="preserve">Click </w:t>
                  </w:r>
                  <w:hyperlink r:id="rId11" w:history="1">
                    <w:r>
                      <w:rPr>
                        <w:rStyle w:val="Hyperlink"/>
                        <w:lang w:eastAsia="en-PH"/>
                      </w:rPr>
                      <w:t>here</w:t>
                    </w:r>
                  </w:hyperlink>
                  <w:r>
                    <w:rPr>
                      <w:lang w:eastAsia="en-PH"/>
                    </w:rPr>
                    <w:t xml:space="preserve"> to find out more about Bank of Melbourne updates.</w:t>
                  </w:r>
                </w:p>
              </w:tc>
            </w:tr>
            <w:tr w:rsidR="004C7A8A" w14:paraId="371F7DC0" w14:textId="77777777" w:rsidTr="004C7A8A">
              <w:tc>
                <w:tcPr>
                  <w:tcW w:w="1526" w:type="dxa"/>
                  <w:tcBorders>
                    <w:top w:val="nil"/>
                    <w:left w:val="single" w:sz="8" w:space="0" w:color="000000"/>
                    <w:bottom w:val="single" w:sz="8" w:space="0" w:color="000000"/>
                    <w:right w:val="single" w:sz="8" w:space="0" w:color="000000"/>
                  </w:tcBorders>
                  <w:hideMark/>
                </w:tcPr>
                <w:p w14:paraId="2AF4E4A5" w14:textId="77777777" w:rsidR="004C7A8A" w:rsidRDefault="004C7A8A">
                  <w:pPr>
                    <w:jc w:val="center"/>
                    <w:textAlignment w:val="baseline"/>
                    <w:rPr>
                      <w:lang w:val="en-US" w:eastAsia="en-PH"/>
                    </w:rPr>
                  </w:pPr>
                  <w:r>
                    <w:rPr>
                      <w:lang w:val="en-US" w:eastAsia="en-PH"/>
                    </w:rPr>
                    <w:t>19 - Oct</w:t>
                  </w:r>
                </w:p>
              </w:tc>
              <w:tc>
                <w:tcPr>
                  <w:tcW w:w="1939" w:type="dxa"/>
                  <w:vMerge w:val="restart"/>
                  <w:tcBorders>
                    <w:top w:val="nil"/>
                    <w:left w:val="nil"/>
                    <w:bottom w:val="single" w:sz="8" w:space="0" w:color="000000"/>
                    <w:right w:val="single" w:sz="8" w:space="0" w:color="000000"/>
                  </w:tcBorders>
                  <w:hideMark/>
                </w:tcPr>
                <w:p w14:paraId="0FF4617D" w14:textId="77777777" w:rsidR="004C7A8A" w:rsidRDefault="004C7A8A">
                  <w:pPr>
                    <w:jc w:val="center"/>
                    <w:textAlignment w:val="baseline"/>
                    <w:rPr>
                      <w:lang w:val="en-AU" w:eastAsia="en-PH"/>
                    </w:rPr>
                  </w:pPr>
                  <w:r>
                    <w:rPr>
                      <w:lang w:val="en-AU" w:eastAsia="en-PH"/>
                    </w:rPr>
                    <w:t>Westpac</w:t>
                  </w:r>
                </w:p>
              </w:tc>
              <w:tc>
                <w:tcPr>
                  <w:tcW w:w="5879" w:type="dxa"/>
                  <w:tcBorders>
                    <w:top w:val="nil"/>
                    <w:left w:val="nil"/>
                    <w:bottom w:val="single" w:sz="8" w:space="0" w:color="000000"/>
                    <w:right w:val="single" w:sz="8" w:space="0" w:color="000000"/>
                  </w:tcBorders>
                  <w:hideMark/>
                </w:tcPr>
                <w:p w14:paraId="2D4CC031" w14:textId="77777777" w:rsidR="004C7A8A" w:rsidRDefault="004C7A8A">
                  <w:pPr>
                    <w:pStyle w:val="ListParagraph"/>
                    <w:numPr>
                      <w:ilvl w:val="0"/>
                      <w:numId w:val="5"/>
                    </w:numPr>
                    <w:spacing w:after="0" w:line="240" w:lineRule="auto"/>
                    <w:textAlignment w:val="baseline"/>
                    <w:rPr>
                      <w:rFonts w:eastAsia="Times New Roman"/>
                      <w:b/>
                      <w:bCs/>
                      <w:lang w:eastAsia="en-PH"/>
                    </w:rPr>
                  </w:pPr>
                  <w:r>
                    <w:rPr>
                      <w:rFonts w:eastAsia="Times New Roman"/>
                      <w:b/>
                      <w:bCs/>
                      <w:lang w:eastAsia="en-PH"/>
                    </w:rPr>
                    <w:t>2-year, 3-year, 4-year, and 5-year fixed rates are increasing</w:t>
                  </w:r>
                </w:p>
                <w:p w14:paraId="7475F216"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lastRenderedPageBreak/>
                    <w:t>Increasing our 2-year, 3-year, 4 year and 5-year fixed interest rates by 0.10% p.a. for Owner Occupier home loans (Principal &amp; Interest repayments).</w:t>
                  </w:r>
                </w:p>
                <w:p w14:paraId="6BD53179"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The fixed interest rates are applicable to new fixed rate home loan and existing variable rate home loan customers looking to fix part or all their loan.</w:t>
                  </w:r>
                </w:p>
                <w:p w14:paraId="6CD7D5FB"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The Premier Advantage Package fixed interest rates include the Premier Advantage Package discount.</w:t>
                  </w:r>
                </w:p>
                <w:p w14:paraId="2F38F519" w14:textId="77777777" w:rsidR="004C7A8A" w:rsidRDefault="004C7A8A">
                  <w:pPr>
                    <w:textAlignment w:val="baseline"/>
                    <w:rPr>
                      <w:lang w:eastAsia="en-PH"/>
                    </w:rPr>
                  </w:pPr>
                  <w:r>
                    <w:rPr>
                      <w:lang w:eastAsia="en-PH"/>
                    </w:rPr>
                    <w:t xml:space="preserve">Click </w:t>
                  </w:r>
                  <w:hyperlink r:id="rId12" w:history="1">
                    <w:r>
                      <w:rPr>
                        <w:rStyle w:val="Hyperlink"/>
                        <w:lang w:eastAsia="en-PH"/>
                      </w:rPr>
                      <w:t>here</w:t>
                    </w:r>
                  </w:hyperlink>
                  <w:r>
                    <w:rPr>
                      <w:lang w:eastAsia="en-PH"/>
                    </w:rPr>
                    <w:t xml:space="preserve"> to find out more about Westpac rates updates</w:t>
                  </w:r>
                </w:p>
              </w:tc>
            </w:tr>
            <w:tr w:rsidR="004C7A8A" w14:paraId="15EF4D21" w14:textId="77777777" w:rsidTr="004C7A8A">
              <w:tc>
                <w:tcPr>
                  <w:tcW w:w="1526" w:type="dxa"/>
                  <w:tcBorders>
                    <w:top w:val="nil"/>
                    <w:left w:val="single" w:sz="8" w:space="0" w:color="000000"/>
                    <w:bottom w:val="single" w:sz="8" w:space="0" w:color="000000"/>
                    <w:right w:val="single" w:sz="8" w:space="0" w:color="000000"/>
                  </w:tcBorders>
                  <w:hideMark/>
                </w:tcPr>
                <w:p w14:paraId="4E27F508" w14:textId="77777777" w:rsidR="004C7A8A" w:rsidRDefault="004C7A8A">
                  <w:pPr>
                    <w:jc w:val="center"/>
                    <w:textAlignment w:val="baseline"/>
                    <w:rPr>
                      <w:lang w:val="en-US" w:eastAsia="en-PH"/>
                    </w:rPr>
                  </w:pPr>
                  <w:r>
                    <w:rPr>
                      <w:lang w:val="en-US" w:eastAsia="en-PH"/>
                    </w:rPr>
                    <w:lastRenderedPageBreak/>
                    <w:t>29 – Oct</w:t>
                  </w:r>
                </w:p>
              </w:tc>
              <w:tc>
                <w:tcPr>
                  <w:tcW w:w="0" w:type="auto"/>
                  <w:vMerge/>
                  <w:tcBorders>
                    <w:top w:val="nil"/>
                    <w:left w:val="nil"/>
                    <w:bottom w:val="single" w:sz="8" w:space="0" w:color="000000"/>
                    <w:right w:val="single" w:sz="8" w:space="0" w:color="000000"/>
                  </w:tcBorders>
                  <w:vAlign w:val="center"/>
                  <w:hideMark/>
                </w:tcPr>
                <w:p w14:paraId="6DF01C47" w14:textId="77777777" w:rsidR="004C7A8A" w:rsidRDefault="004C7A8A">
                  <w:pPr>
                    <w:rPr>
                      <w:rFonts w:ascii="Calibri" w:hAnsi="Calibri" w:cs="Calibri"/>
                      <w:lang w:val="en-AU" w:eastAsia="en-PH"/>
                    </w:rPr>
                  </w:pPr>
                </w:p>
              </w:tc>
              <w:tc>
                <w:tcPr>
                  <w:tcW w:w="5879" w:type="dxa"/>
                  <w:tcBorders>
                    <w:top w:val="nil"/>
                    <w:left w:val="nil"/>
                    <w:bottom w:val="single" w:sz="8" w:space="0" w:color="000000"/>
                    <w:right w:val="single" w:sz="8" w:space="0" w:color="000000"/>
                  </w:tcBorders>
                  <w:hideMark/>
                </w:tcPr>
                <w:p w14:paraId="2F79D0F8" w14:textId="77777777" w:rsidR="004C7A8A" w:rsidRDefault="004C7A8A">
                  <w:pPr>
                    <w:pStyle w:val="ListParagraph"/>
                    <w:numPr>
                      <w:ilvl w:val="0"/>
                      <w:numId w:val="5"/>
                    </w:numPr>
                    <w:spacing w:after="0" w:line="240" w:lineRule="auto"/>
                    <w:textAlignment w:val="baseline"/>
                    <w:rPr>
                      <w:rFonts w:eastAsia="Times New Roman"/>
                      <w:b/>
                      <w:bCs/>
                      <w:lang w:eastAsia="en-PH"/>
                    </w:rPr>
                  </w:pPr>
                  <w:r>
                    <w:rPr>
                      <w:rFonts w:eastAsia="Times New Roman"/>
                      <w:b/>
                      <w:bCs/>
                      <w:lang w:eastAsia="en-PH"/>
                    </w:rPr>
                    <w:t>Home loan buffer rate changes</w:t>
                  </w:r>
                </w:p>
                <w:p w14:paraId="6F5299A0" w14:textId="77777777" w:rsidR="004C7A8A" w:rsidRDefault="004C7A8A">
                  <w:pPr>
                    <w:pStyle w:val="ListParagraph"/>
                    <w:numPr>
                      <w:ilvl w:val="1"/>
                      <w:numId w:val="5"/>
                    </w:numPr>
                    <w:spacing w:after="0" w:line="240" w:lineRule="auto"/>
                    <w:textAlignment w:val="baseline"/>
                    <w:rPr>
                      <w:rFonts w:eastAsia="Times New Roman"/>
                      <w:lang w:eastAsia="en-PH"/>
                    </w:rPr>
                  </w:pPr>
                  <w:r>
                    <w:rPr>
                      <w:rFonts w:eastAsia="Times New Roman"/>
                      <w:lang w:eastAsia="en-PH"/>
                    </w:rPr>
                    <w:t>In line with the updated APRA guidance, changes have been made to the Consumer Credit Policy.</w:t>
                  </w:r>
                </w:p>
                <w:p w14:paraId="4EDC7FAB" w14:textId="77777777" w:rsidR="004C7A8A" w:rsidRDefault="004C7A8A">
                  <w:pPr>
                    <w:pStyle w:val="ListParagraph"/>
                    <w:numPr>
                      <w:ilvl w:val="1"/>
                      <w:numId w:val="5"/>
                    </w:numPr>
                    <w:spacing w:after="0" w:line="240" w:lineRule="auto"/>
                    <w:textAlignment w:val="baseline"/>
                    <w:rPr>
                      <w:rFonts w:eastAsia="Times New Roman"/>
                      <w:b/>
                      <w:bCs/>
                      <w:lang w:eastAsia="en-PH"/>
                    </w:rPr>
                  </w:pPr>
                  <w:r>
                    <w:rPr>
                      <w:rFonts w:eastAsia="Times New Roman"/>
                      <w:lang w:eastAsia="en-PH"/>
                    </w:rPr>
                    <w:t>Effective Friday 29 October 2021, the serviceability buffer rate is increased from 2.50% p.a. to 3.00% p.a.</w:t>
                  </w:r>
                </w:p>
                <w:p w14:paraId="7C1A965D" w14:textId="77777777" w:rsidR="004C7A8A" w:rsidRDefault="004C7A8A">
                  <w:pPr>
                    <w:pStyle w:val="ListParagraph"/>
                    <w:numPr>
                      <w:ilvl w:val="0"/>
                      <w:numId w:val="5"/>
                    </w:numPr>
                    <w:spacing w:after="0" w:line="240" w:lineRule="auto"/>
                    <w:textAlignment w:val="baseline"/>
                    <w:rPr>
                      <w:rFonts w:eastAsia="Times New Roman"/>
                      <w:b/>
                      <w:bCs/>
                      <w:lang w:eastAsia="en-PH"/>
                    </w:rPr>
                  </w:pPr>
                  <w:r>
                    <w:rPr>
                      <w:rFonts w:eastAsia="Times New Roman"/>
                      <w:b/>
                      <w:bCs/>
                      <w:lang w:eastAsia="en-PH"/>
                    </w:rPr>
                    <w:t>Buffer rate change details</w:t>
                  </w:r>
                </w:p>
                <w:p w14:paraId="2307666C" w14:textId="77777777" w:rsidR="004C7A8A" w:rsidRDefault="004C7A8A">
                  <w:pPr>
                    <w:pStyle w:val="ListParagraph"/>
                    <w:numPr>
                      <w:ilvl w:val="1"/>
                      <w:numId w:val="5"/>
                    </w:numPr>
                    <w:rPr>
                      <w:rFonts w:eastAsia="Times New Roman"/>
                      <w:lang w:eastAsia="en-PH"/>
                    </w:rPr>
                  </w:pPr>
                  <w:r>
                    <w:rPr>
                      <w:rFonts w:eastAsia="Times New Roman"/>
                      <w:lang w:eastAsia="en-PH"/>
                    </w:rPr>
                    <w:t>The new buffer rate will be applied for any application received on or after Friday 29 October 2021.</w:t>
                  </w:r>
                </w:p>
                <w:p w14:paraId="6DF101CB" w14:textId="77777777" w:rsidR="004C7A8A" w:rsidRDefault="004C7A8A">
                  <w:pPr>
                    <w:pStyle w:val="ListParagraph"/>
                    <w:numPr>
                      <w:ilvl w:val="1"/>
                      <w:numId w:val="5"/>
                    </w:numPr>
                    <w:rPr>
                      <w:rFonts w:eastAsia="Times New Roman"/>
                      <w:lang w:eastAsia="en-PH"/>
                    </w:rPr>
                  </w:pPr>
                  <w:r>
                    <w:rPr>
                      <w:rFonts w:eastAsia="Times New Roman"/>
                      <w:lang w:eastAsia="en-PH"/>
                    </w:rPr>
                    <w:t xml:space="preserve">Applications received via </w:t>
                  </w:r>
                  <w:proofErr w:type="spellStart"/>
                  <w:r>
                    <w:rPr>
                      <w:rFonts w:eastAsia="Times New Roman"/>
                      <w:lang w:eastAsia="en-PH"/>
                    </w:rPr>
                    <w:t>ApplyOnline</w:t>
                  </w:r>
                  <w:proofErr w:type="spellEnd"/>
                  <w:r>
                    <w:rPr>
                      <w:rFonts w:eastAsia="Times New Roman"/>
                      <w:lang w:eastAsia="en-PH"/>
                    </w:rPr>
                    <w:t xml:space="preserve"> up to and including Thursday 28 October 2021 that are accompanied by standard supporting documents sufficient to allow the assessment of the application, will have the previous buffer rate of 2.50% p.a. applied where pipeline policy is met.</w:t>
                  </w:r>
                </w:p>
                <w:p w14:paraId="51DEAA4D" w14:textId="77777777" w:rsidR="004C7A8A" w:rsidRDefault="004C7A8A">
                  <w:pPr>
                    <w:pStyle w:val="ListParagraph"/>
                    <w:numPr>
                      <w:ilvl w:val="1"/>
                      <w:numId w:val="5"/>
                    </w:numPr>
                    <w:rPr>
                      <w:rFonts w:eastAsia="Times New Roman"/>
                      <w:lang w:eastAsia="en-PH"/>
                    </w:rPr>
                  </w:pPr>
                  <w:r>
                    <w:rPr>
                      <w:rFonts w:eastAsia="Times New Roman"/>
                      <w:lang w:eastAsia="en-PH"/>
                    </w:rPr>
                    <w:t xml:space="preserve">The Westpac Assess calculator and </w:t>
                  </w:r>
                  <w:proofErr w:type="spellStart"/>
                  <w:r>
                    <w:rPr>
                      <w:rFonts w:eastAsia="Times New Roman"/>
                      <w:lang w:eastAsia="en-PH"/>
                    </w:rPr>
                    <w:t>ApplyOnline</w:t>
                  </w:r>
                  <w:proofErr w:type="spellEnd"/>
                  <w:r>
                    <w:rPr>
                      <w:rFonts w:eastAsia="Times New Roman"/>
                      <w:lang w:eastAsia="en-PH"/>
                    </w:rPr>
                    <w:t xml:space="preserve"> will be updated to reflect this change from Friday 29 October 2021.</w:t>
                  </w:r>
                </w:p>
                <w:p w14:paraId="663838FE" w14:textId="77777777" w:rsidR="004C7A8A" w:rsidRDefault="004C7A8A">
                  <w:pPr>
                    <w:textAlignment w:val="baseline"/>
                    <w:rPr>
                      <w:b/>
                      <w:bCs/>
                      <w:lang w:eastAsia="en-PH"/>
                    </w:rPr>
                  </w:pPr>
                  <w:r>
                    <w:rPr>
                      <w:lang w:eastAsia="en-PH"/>
                    </w:rPr>
                    <w:t xml:space="preserve">Click </w:t>
                  </w:r>
                  <w:hyperlink r:id="rId13" w:history="1">
                    <w:r>
                      <w:rPr>
                        <w:rStyle w:val="Hyperlink"/>
                        <w:lang w:eastAsia="en-PH"/>
                      </w:rPr>
                      <w:t>here</w:t>
                    </w:r>
                  </w:hyperlink>
                  <w:r>
                    <w:rPr>
                      <w:lang w:eastAsia="en-PH"/>
                    </w:rPr>
                    <w:t xml:space="preserve"> to find out more about Westpac buffer rate updates</w:t>
                  </w:r>
                </w:p>
              </w:tc>
            </w:tr>
          </w:tbl>
          <w:p w14:paraId="186EB133" w14:textId="77777777" w:rsidR="004C7A8A" w:rsidRDefault="004C7A8A">
            <w:pPr>
              <w:rPr>
                <w:rFonts w:ascii="Times New Roman" w:eastAsia="Times New Roman" w:hAnsi="Times New Roman" w:cs="Times New Roman"/>
                <w:sz w:val="20"/>
                <w:szCs w:val="20"/>
                <w:lang w:eastAsia="en-PH"/>
              </w:rPr>
            </w:pPr>
          </w:p>
        </w:tc>
      </w:tr>
    </w:tbl>
    <w:p w14:paraId="7F145AB2" w14:textId="77777777" w:rsidR="009815B5" w:rsidRDefault="009815B5"/>
    <w:sectPr w:rsidR="00981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D7D"/>
    <w:multiLevelType w:val="hybridMultilevel"/>
    <w:tmpl w:val="2A5461F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2F131E12"/>
    <w:multiLevelType w:val="hybridMultilevel"/>
    <w:tmpl w:val="9BDA7C1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35CF1308"/>
    <w:multiLevelType w:val="hybridMultilevel"/>
    <w:tmpl w:val="9D94A5B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5303570F"/>
    <w:multiLevelType w:val="hybridMultilevel"/>
    <w:tmpl w:val="4B54623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4" w15:restartNumberingAfterBreak="0">
    <w:nsid w:val="5FBD1B85"/>
    <w:multiLevelType w:val="hybridMultilevel"/>
    <w:tmpl w:val="FC92143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8A"/>
    <w:rsid w:val="003E6CDE"/>
    <w:rsid w:val="0049136E"/>
    <w:rsid w:val="004C7A8A"/>
    <w:rsid w:val="009815B5"/>
    <w:rsid w:val="00F05A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E983"/>
  <w15:chartTrackingRefBased/>
  <w15:docId w15:val="{E870A714-108B-4A36-B611-FFEE7B12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7A8A"/>
    <w:rPr>
      <w:color w:val="0563C1"/>
      <w:u w:val="single"/>
    </w:rPr>
  </w:style>
  <w:style w:type="paragraph" w:styleId="NormalWeb">
    <w:name w:val="Normal (Web)"/>
    <w:basedOn w:val="Normal"/>
    <w:uiPriority w:val="99"/>
    <w:semiHidden/>
    <w:unhideWhenUsed/>
    <w:rsid w:val="004C7A8A"/>
    <w:pPr>
      <w:spacing w:before="100" w:beforeAutospacing="1" w:after="100" w:afterAutospacing="1" w:line="240" w:lineRule="auto"/>
    </w:pPr>
    <w:rPr>
      <w:rFonts w:ascii="Calibri" w:hAnsi="Calibri" w:cs="Calibri"/>
      <w:lang w:eastAsia="en-PH"/>
    </w:rPr>
  </w:style>
  <w:style w:type="paragraph" w:styleId="ListParagraph">
    <w:name w:val="List Paragraph"/>
    <w:basedOn w:val="Normal"/>
    <w:uiPriority w:val="34"/>
    <w:qFormat/>
    <w:rsid w:val="004C7A8A"/>
    <w:pPr>
      <w:spacing w:line="252" w:lineRule="auto"/>
      <w:ind w:left="720"/>
      <w:contextualSpacing/>
    </w:pPr>
    <w:rPr>
      <w:rFonts w:ascii="Calibri" w:hAnsi="Calibri" w:cs="Calibri"/>
    </w:rPr>
  </w:style>
  <w:style w:type="character" w:styleId="FollowedHyperlink">
    <w:name w:val="FollowedHyperlink"/>
    <w:basedOn w:val="DefaultParagraphFont"/>
    <w:uiPriority w:val="99"/>
    <w:semiHidden/>
    <w:unhideWhenUsed/>
    <w:rsid w:val="00F05A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32821">
      <w:bodyDiv w:val="1"/>
      <w:marLeft w:val="0"/>
      <w:marRight w:val="0"/>
      <w:marTop w:val="0"/>
      <w:marBottom w:val="0"/>
      <w:divBdr>
        <w:top w:val="none" w:sz="0" w:space="0" w:color="auto"/>
        <w:left w:val="none" w:sz="0" w:space="0" w:color="auto"/>
        <w:bottom w:val="none" w:sz="0" w:space="0" w:color="auto"/>
        <w:right w:val="none" w:sz="0" w:space="0" w:color="auto"/>
      </w:divBdr>
    </w:div>
    <w:div w:id="209061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communications.macquarie.com/?qs=bca915d25b83a940841dfeeaf8fec02adc59660d38fc037927f95015e9440debab8c2d3e89fd9d385a8ba9f6dc0a980d23c349b09a4f7b63ddf7baa60c0c2677e0e222298d2d9c1096b9756a0b76db904463e372e5233e3f" TargetMode="External"/><Relationship Id="rId13" Type="http://schemas.openxmlformats.org/officeDocument/2006/relationships/hyperlink" Target="https://view.mc.westpac.com.au/?qs=88dfe3ba1bdd49288938e11e1f228939e29988f2d1b7a7b3746b7a99b9311aed9924a9f110a667ee392c3768c8c02ebad8ddee2efe712ff65d61ec6eb44adc4a24136eba2bc6b572ce708ed802557b4f" TargetMode="External"/><Relationship Id="rId3" Type="http://schemas.openxmlformats.org/officeDocument/2006/relationships/settings" Target="settings.xml"/><Relationship Id="rId7" Type="http://schemas.openxmlformats.org/officeDocument/2006/relationships/hyperlink" Target="https://ecomms.cba.com.au/rv/ff0083d16988b76f8040beb3bf438d7829385dcc" TargetMode="External"/><Relationship Id="rId12" Type="http://schemas.openxmlformats.org/officeDocument/2006/relationships/hyperlink" Target="https://view.mc.westpac.com.au/?qs=7009113ee14b9ee133b4be97c43ba31acb31a933e6471ba712a2cf6549310d0946ad22a3031c76977cde3144b922e0b628cb2a5df85b85ee05aa4288ee88b17ce50ef3160b85c7b9b1b7319bc063589b57ec834f34ea57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s.ecomm.anz.com/servlet/MailView?ms=NDU4MTc5NDkS1&amp;r=MTMyOTEzMjE4OTgwMAS2&amp;j=MjEwMjI3NTE4NgS2&amp;mt=1&amp;rt=0" TargetMode="External"/><Relationship Id="rId11" Type="http://schemas.openxmlformats.org/officeDocument/2006/relationships/hyperlink" Target="https://view.mc.bankofmelbourne.com.au/?qs=02debbbec807a5020f97c556416deee2d6e669cd39b5e7fcf99f55c6e8b31f42fa6ca048e757f20fd9762404d2cd896ecb4f78fcb2f71ef60a7bd12d95daa4d38b151b3a92ffc5dd9fdbabf0663531c42bb5f1bd944111a0" TargetMode="External"/><Relationship Id="rId5" Type="http://schemas.openxmlformats.org/officeDocument/2006/relationships/hyperlink" Target="https://app.vision6.com.au/v/7253/1779048215/email.html?k=L0YMT7HuNmJgN_jTUZjQbC0jdVyIe8-KEYWGpWDHz70" TargetMode="External"/><Relationship Id="rId15" Type="http://schemas.openxmlformats.org/officeDocument/2006/relationships/theme" Target="theme/theme1.xml"/><Relationship Id="rId10" Type="http://schemas.openxmlformats.org/officeDocument/2006/relationships/hyperlink" Target="https://view.mc.stgeorge.com.au/?qs=fa2ad55c3aa276ad6286ec8ec2dde668d85f9ebcc9b67ccf01d9e446b91cc43e36b2ea217f09d2d8f0176fa7a5a38b652e27f6ae9895620153ce5b55c3ec84f526eb7e04b9dbfdc1f1c2ce8d52bfbc403c9280958229143e" TargetMode="External"/><Relationship Id="rId4" Type="http://schemas.openxmlformats.org/officeDocument/2006/relationships/webSettings" Target="webSettings.xml"/><Relationship Id="rId9" Type="http://schemas.openxmlformats.org/officeDocument/2006/relationships/hyperlink" Target="https://view.mc.banksa.com.au/?qs=88dfe3ba1bdd49280f7149046594f0289955e6d3ddd8e48d90f35d1c4ea297c2161cb745d5147f7b9cc1e24679eb170b4e7533bed69d8a5b37d97f90dd29c46861041c7e1e281260fd8c3393aad5a5c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1786</Words>
  <Characters>10181</Characters>
  <Application>Microsoft Office Word</Application>
  <DocSecurity>0</DocSecurity>
  <Lines>84</Lines>
  <Paragraphs>23</Paragraphs>
  <ScaleCrop>false</ScaleCrop>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2</cp:revision>
  <dcterms:created xsi:type="dcterms:W3CDTF">2021-10-22T05:01:00Z</dcterms:created>
  <dcterms:modified xsi:type="dcterms:W3CDTF">2021-10-22T05:43:00Z</dcterms:modified>
</cp:coreProperties>
</file>