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t xml:space="preserve"/>
      </w:r>
    </w:p>
    <w:p>
      <w:pPr>
        <w:jc w:val="center"/>
      </w:pPr>
      <w:r>
        <w:rPr>
          <w:rFonts w:ascii="Arial" w:cs="Arial" w:eastAsia="Arial" w:hAnsi="Arial"/>
          <w:b/>
          <w:bCs/>
          <w:color w:val="2D1B6B"/>
          <w:sz w:val="80"/>
          <w:szCs w:val="80"/>
        </w:rPr>
        <w:t xml:space="preserve">PurpLedger</w:t>
      </w:r>
    </w:p>
    <w:p>
      <w:pPr>
        <w:spacing w:after="320" w:before="120"/>
        <w:jc w:val="center"/>
      </w:pPr>
      <w:r>
        <w:rPr>
          <w:rFonts w:ascii="Arial" w:cs="Arial" w:eastAsia="Arial" w:hAnsi="Arial"/>
          <w:color w:val="7B2FBE"/>
          <w:sz w:val="30"/>
          <w:szCs w:val="30"/>
        </w:rPr>
        <w:t xml:space="preserve">The Smart Ledger for Modern Collections</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7B2FBE" w:sz="4"/>
              <w:left w:val="single" w:color="7B2FBE" w:sz="4"/>
              <w:bottom w:val="single" w:color="7B2FBE" w:sz="4"/>
              <w:right w:val="single" w:color="7B2FBE" w:sz="4"/>
            </w:tcBorders>
            <w:shd w:fill="EDE9FE" w:val="clear"/>
            <w:tcMar>
              <w:top w:type="dxa" w:w="220"/>
              <w:left w:type="dxa" w:w="360"/>
              <w:bottom w:type="dxa" w:w="220"/>
              <w:right w:type="dxa" w:w="360"/>
            </w:tcMar>
          </w:tcPr>
          <w:p>
            <w:pPr>
              <w:jc w:val="center"/>
            </w:pPr>
            <w:r>
              <w:rPr>
                <w:rFonts w:ascii="Arial" w:cs="Arial" w:eastAsia="Arial" w:hAnsi="Arial"/>
                <w:b/>
                <w:bCs/>
                <w:color w:val="2D1B6B"/>
                <w:sz w:val="28"/>
                <w:szCs w:val="28"/>
              </w:rPr>
              <w:t xml:space="preserve">PRD ADDENDUM — v1.1</w:t>
            </w:r>
          </w:p>
          <w:p>
            <w:pPr>
              <w:spacing w:before="80"/>
              <w:jc w:val="center"/>
            </w:pPr>
            <w:r>
              <w:rPr>
                <w:rFonts w:ascii="Arial" w:cs="Arial" w:eastAsia="Arial" w:hAnsi="Arial"/>
                <w:color w:val="7B2FBE"/>
                <w:sz w:val="22"/>
                <w:szCs w:val="22"/>
              </w:rPr>
              <w:t xml:space="preserve">Merchant Verification &amp; Tiered Access</w:t>
            </w:r>
          </w:p>
          <w:p>
            <w:pPr>
              <w:spacing w:before="60"/>
              <w:jc w:val="center"/>
            </w:pPr>
            <w:r>
              <w:rPr>
                <w:rFonts w:ascii="Arial" w:cs="Arial" w:eastAsia="Arial" w:hAnsi="Arial"/>
                <w:color w:val="7B2FBE"/>
                <w:sz w:val="22"/>
                <w:szCs w:val="22"/>
              </w:rPr>
              <w:t xml:space="preserve">Team RBAC &amp; SuperAdmin Strategy</w:t>
            </w:r>
          </w:p>
          <w:p>
            <w:pPr>
              <w:spacing w:before="100"/>
              <w:jc w:val="center"/>
            </w:pPr>
            <w:r>
              <w:rPr>
                <w:rFonts w:ascii="Arial" w:cs="Arial" w:eastAsia="Arial" w:hAnsi="Arial"/>
                <w:color w:val="6B7280"/>
                <w:sz w:val="19"/>
                <w:szCs w:val="19"/>
              </w:rPr>
              <w:t xml:space="preserve">Extends PRD v1.0  ·  June 2025</w:t>
            </w:r>
          </w:p>
        </w:tc>
      </w:tr>
    </w:tbl>
    <w:p>
      <w:pPr>
        <w:spacing w:after="0" w:before="600"/>
      </w:pPr>
      <w:r>
        <w:t xml:space="preserve"/>
      </w:r>
    </w:p>
    <w:p>
      <w:pPr>
        <w:jc w:val="center"/>
      </w:pPr>
      <w:r>
        <w:rPr>
          <w:rFonts w:ascii="Arial" w:cs="Arial" w:eastAsia="Arial" w:hAnsi="Arial"/>
          <w:b/>
          <w:bCs/>
          <w:color w:val="7B2FBE"/>
          <w:sz w:val="20"/>
          <w:szCs w:val="20"/>
        </w:rPr>
        <w:t xml:space="preserve">CONFIDENTIAL — INTERNAL USE ONLY</w:t>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FBE" w:sz="4"/>
              <w:left w:val="single" w:color="7B2FBE" w:sz="4"/>
              <w:bottom w:val="single" w:color="7B2FBE" w:sz="4"/>
              <w:right w:val="single" w:color="7B2FBE" w:sz="4"/>
            </w:tcBorders>
            <w:shd w:fill="2D1B6B" w:val="clear"/>
            <w:tcMar>
              <w:top w:type="dxa" w:w="180"/>
              <w:left w:type="dxa" w:w="280"/>
              <w:bottom w:type="dxa" w:w="80"/>
              <w:right w:type="dxa" w:w="280"/>
            </w:tcMar>
          </w:tcPr>
          <w:p>
            <w:pPr>
              <w:jc w:val="center"/>
            </w:pPr>
            <w:r>
              <w:rPr>
                <w:rFonts w:ascii="Arial" w:cs="Arial" w:eastAsia="Arial" w:hAnsi="Arial"/>
                <w:b/>
                <w:bCs/>
                <w:color w:val="FFFFFF"/>
                <w:sz w:val="34"/>
                <w:szCs w:val="34"/>
              </w:rPr>
              <w:t xml:space="preserve">PM REVIEW &amp; EDITORIAL NOTES</w:t>
            </w:r>
          </w:p>
          <w:p>
            <w:pPr>
              <w:spacing w:after="100" w:before="60"/>
              <w:jc w:val="center"/>
            </w:pPr>
            <w:r>
              <w:rPr>
                <w:rFonts w:ascii="Arial" w:cs="Arial" w:eastAsia="Arial" w:hAnsi="Arial"/>
                <w:color w:val="C4B5FD"/>
                <w:sz w:val="20"/>
                <w:szCs w:val="20"/>
              </w:rPr>
              <w:t xml:space="preserve">Changes made before finalisation — read before implementing</w:t>
            </w:r>
          </w:p>
        </w:tc>
      </w:tr>
    </w:tbl>
    <w:p>
      <w:pPr>
        <w:spacing w:after="80" w:before="80"/>
      </w:pPr>
      <w:r>
        <w:t xml:space="preserve"/>
      </w:r>
    </w:p>
    <w:p>
      <w:pPr>
        <w:spacing w:after="80" w:before="80"/>
      </w:pPr>
      <w:r>
        <w:rPr>
          <w:rFonts w:ascii="Arial" w:cs="Arial" w:eastAsia="Arial" w:hAnsi="Arial"/>
          <w:color w:val="1E1B2E"/>
          <w:sz w:val="22"/>
          <w:szCs w:val="22"/>
        </w:rPr>
        <w:t xml:space="preserve">The following corrections and additions have been applied to the source material before incorporation into this addendum. Developers and designers should treat the content in Sections 12–15 as the authoritative, corrected specification.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4"/>
            </w:tcBorders>
            <w:shd w:fill="FFFBEB" w:val="clear"/>
            <w:tcMar>
              <w:top w:type="dxa" w:w="120"/>
              <w:left w:type="dxa" w:w="240"/>
              <w:bottom w:type="dxa" w:w="120"/>
              <w:right w:type="dxa" w:w="240"/>
            </w:tcMar>
          </w:tcPr>
          <w:p>
            <w:pPr>
              <w:spacing w:after="80" w:before="40"/>
            </w:pPr>
            <w:r>
              <w:rPr>
                <w:rFonts w:ascii="Arial" w:cs="Arial" w:eastAsia="Arial" w:hAnsi="Arial"/>
                <w:b/>
                <w:bCs/>
                <w:color w:val="92400E"/>
                <w:sz w:val="22"/>
                <w:szCs w:val="22"/>
              </w:rPr>
              <w:t xml:space="preserve">CORRECTION 1 — Limit Nomenclature Fix (Schema)</w:t>
            </w:r>
          </w:p>
          <w:p>
            <w:pPr>
              <w:spacing w:after="60" w:before="40"/>
            </w:pPr>
            <w:r>
              <w:rPr>
                <w:rFonts w:ascii="Arial" w:cs="Arial" w:eastAsia="Arial" w:hAnsi="Arial"/>
                <w:b/>
                <w:bCs/>
                <w:color w:val="92400E"/>
                <w:sz w:val="21"/>
                <w:szCs w:val="21"/>
              </w:rPr>
              <w:t xml:space="preserve">Source issue: </w:t>
            </w:r>
            <w:r>
              <w:rPr>
                <w:rFonts w:ascii="Arial" w:cs="Arial" w:eastAsia="Arial" w:hAnsi="Arial"/>
                <w:color w:val="1E1B2E"/>
                <w:sz w:val="21"/>
                <w:szCs w:val="21"/>
              </w:rPr>
              <w:t xml:space="preserve">The schema extension used daily_collection_limit, but the business logic throughout Section 12 consistently describes a monthly limit. These two are contradictory and would create a critical billing discrepancy.</w:t>
            </w:r>
          </w:p>
          <w:p>
            <w:pPr>
              <w:spacing w:after="40" w:before="40"/>
            </w:pPr>
            <w:r>
              <w:rPr>
                <w:rFonts w:ascii="Arial" w:cs="Arial" w:eastAsia="Arial" w:hAnsi="Arial"/>
                <w:b/>
                <w:bCs/>
                <w:color w:val="065F46"/>
                <w:sz w:val="21"/>
                <w:szCs w:val="21"/>
              </w:rPr>
              <w:t xml:space="preserve">Fix applied: </w:t>
            </w:r>
            <w:r>
              <w:rPr>
                <w:rFonts w:ascii="Arial" w:cs="Arial" w:eastAsia="Arial" w:hAnsi="Arial"/>
                <w:color w:val="1E1B2E"/>
                <w:sz w:val="21"/>
                <w:szCs w:val="21"/>
              </w:rPr>
              <w:t xml:space="preserve">Column renamed to monthly_collection_limit across schema and all API references in this document.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4"/>
            </w:tcBorders>
            <w:shd w:fill="FFFBEB" w:val="clear"/>
            <w:tcMar>
              <w:top w:type="dxa" w:w="120"/>
              <w:left w:type="dxa" w:w="240"/>
              <w:bottom w:type="dxa" w:w="120"/>
              <w:right w:type="dxa" w:w="240"/>
            </w:tcMar>
          </w:tcPr>
          <w:p>
            <w:pPr>
              <w:spacing w:after="80" w:before="40"/>
            </w:pPr>
            <w:r>
              <w:rPr>
                <w:rFonts w:ascii="Arial" w:cs="Arial" w:eastAsia="Arial" w:hAnsi="Arial"/>
                <w:b/>
                <w:bCs/>
                <w:color w:val="92400E"/>
                <w:sz w:val="22"/>
                <w:szCs w:val="22"/>
              </w:rPr>
              <w:t xml:space="preserve">CORRECTION 2 — Tier 1 Monthly Limit (Business Decision)</w:t>
            </w:r>
          </w:p>
          <w:p>
            <w:pPr>
              <w:spacing w:after="60" w:before="40"/>
            </w:pPr>
            <w:r>
              <w:rPr>
                <w:rFonts w:ascii="Arial" w:cs="Arial" w:eastAsia="Arial" w:hAnsi="Arial"/>
                <w:b/>
                <w:bCs/>
                <w:color w:val="92400E"/>
                <w:sz w:val="21"/>
                <w:szCs w:val="21"/>
              </w:rPr>
              <w:t xml:space="preserve">Source issue: </w:t>
            </w:r>
            <w:r>
              <w:rPr>
                <w:rFonts w:ascii="Arial" w:cs="Arial" w:eastAsia="Arial" w:hAnsi="Arial"/>
                <w:color w:val="1E1B2E"/>
                <w:sz w:val="21"/>
                <w:szCs w:val="21"/>
              </w:rPr>
              <w:t xml:space="preserve">The ₦250,000 monthly cap for Tier 1 (Individual) merchants is too restrictive for freelancers doing even moderate B2B work. A single small contract invoice could exhaust the limit. This risks frustrating exactly the users we want to convert to Tier 2.</w:t>
            </w:r>
          </w:p>
          <w:p>
            <w:pPr>
              <w:spacing w:after="40" w:before="40"/>
            </w:pPr>
            <w:r>
              <w:rPr>
                <w:rFonts w:ascii="Arial" w:cs="Arial" w:eastAsia="Arial" w:hAnsi="Arial"/>
                <w:b/>
                <w:bCs/>
                <w:color w:val="065F46"/>
                <w:sz w:val="21"/>
                <w:szCs w:val="21"/>
              </w:rPr>
              <w:t xml:space="preserve">Fix applied: </w:t>
            </w:r>
            <w:r>
              <w:rPr>
                <w:rFonts w:ascii="Arial" w:cs="Arial" w:eastAsia="Arial" w:hAnsi="Arial"/>
                <w:color w:val="1E1B2E"/>
                <w:sz w:val="21"/>
                <w:szCs w:val="21"/>
              </w:rPr>
              <w:t xml:space="preserve">Tier 1 monthly limit raised to ₦500,000. This cap must be stored as a configurable admin-settable parameter (not hardcoded) so the SuperAdmin can adjust it without a code deployment.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4"/>
            </w:tcBorders>
            <w:shd w:fill="FFFBEB" w:val="clear"/>
            <w:tcMar>
              <w:top w:type="dxa" w:w="120"/>
              <w:left w:type="dxa" w:w="240"/>
              <w:bottom w:type="dxa" w:w="120"/>
              <w:right w:type="dxa" w:w="240"/>
            </w:tcMar>
          </w:tcPr>
          <w:p>
            <w:pPr>
              <w:spacing w:after="80" w:before="40"/>
            </w:pPr>
            <w:r>
              <w:rPr>
                <w:rFonts w:ascii="Arial" w:cs="Arial" w:eastAsia="Arial" w:hAnsi="Arial"/>
                <w:b/>
                <w:bCs/>
                <w:color w:val="92400E"/>
                <w:sz w:val="22"/>
                <w:szCs w:val="22"/>
              </w:rPr>
              <w:t xml:space="preserve">CORRECTION 3 — Stripe Reference Removed (Stack Alignment)</w:t>
            </w:r>
          </w:p>
          <w:p>
            <w:pPr>
              <w:spacing w:after="60" w:before="40"/>
            </w:pPr>
            <w:r>
              <w:rPr>
                <w:rFonts w:ascii="Arial" w:cs="Arial" w:eastAsia="Arial" w:hAnsi="Arial"/>
                <w:b/>
                <w:bCs/>
                <w:color w:val="92400E"/>
                <w:sz w:val="21"/>
                <w:szCs w:val="21"/>
              </w:rPr>
              <w:t xml:space="preserve">Source issue: </w:t>
            </w:r>
            <w:r>
              <w:rPr>
                <w:rFonts w:ascii="Arial" w:cs="Arial" w:eastAsia="Arial" w:hAnsi="Arial"/>
                <w:color w:val="1E1B2E"/>
                <w:sz w:val="21"/>
                <w:szCs w:val="21"/>
              </w:rPr>
              <w:t xml:space="preserve">Section 15 (SuperAdmin Strategy) referenced 'Stripe or Paystack API Status' for system health monitoring. PurpLedger's stack is Paystack-only. Referencing Stripe introduces ambiguity and could misdirect developers.</w:t>
            </w:r>
          </w:p>
          <w:p>
            <w:pPr>
              <w:spacing w:after="40" w:before="40"/>
            </w:pPr>
            <w:r>
              <w:rPr>
                <w:rFonts w:ascii="Arial" w:cs="Arial" w:eastAsia="Arial" w:hAnsi="Arial"/>
                <w:b/>
                <w:bCs/>
                <w:color w:val="065F46"/>
                <w:sz w:val="21"/>
                <w:szCs w:val="21"/>
              </w:rPr>
              <w:t xml:space="preserve">Fix applied: </w:t>
            </w:r>
            <w:r>
              <w:rPr>
                <w:rFonts w:ascii="Arial" w:cs="Arial" w:eastAsia="Arial" w:hAnsi="Arial"/>
                <w:color w:val="1E1B2E"/>
                <w:sz w:val="21"/>
                <w:szCs w:val="21"/>
              </w:rPr>
              <w:t xml:space="preserve">All references changed to 'Paystack API Status (status.paystack.com)' exclusively.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4"/>
            </w:tcBorders>
            <w:shd w:fill="FFFBEB" w:val="clear"/>
            <w:tcMar>
              <w:top w:type="dxa" w:w="120"/>
              <w:left w:type="dxa" w:w="240"/>
              <w:bottom w:type="dxa" w:w="120"/>
              <w:right w:type="dxa" w:w="240"/>
            </w:tcMar>
          </w:tcPr>
          <w:p>
            <w:pPr>
              <w:spacing w:after="80" w:before="40"/>
            </w:pPr>
            <w:r>
              <w:rPr>
                <w:rFonts w:ascii="Arial" w:cs="Arial" w:eastAsia="Arial" w:hAnsi="Arial"/>
                <w:b/>
                <w:bCs/>
                <w:color w:val="92400E"/>
                <w:sz w:val="22"/>
                <w:szCs w:val="22"/>
              </w:rPr>
              <w:t xml:space="preserve">CORRECTION 4 — Invoice Deletion Wording (Ledger Integrity)</w:t>
            </w:r>
          </w:p>
          <w:p>
            <w:pPr>
              <w:spacing w:after="60" w:before="40"/>
            </w:pPr>
            <w:r>
              <w:rPr>
                <w:rFonts w:ascii="Arial" w:cs="Arial" w:eastAsia="Arial" w:hAnsi="Arial"/>
                <w:b/>
                <w:bCs/>
                <w:color w:val="92400E"/>
                <w:sz w:val="21"/>
                <w:szCs w:val="21"/>
              </w:rPr>
              <w:t xml:space="preserve">Source issue: </w:t>
            </w:r>
            <w:r>
              <w:rPr>
                <w:rFonts w:ascii="Arial" w:cs="Arial" w:eastAsia="Arial" w:hAnsi="Arial"/>
                <w:color w:val="1E1B2E"/>
                <w:sz w:val="21"/>
                <w:szCs w:val="21"/>
              </w:rPr>
              <w:t xml:space="preserve">Section 15 stated: 'If a merchant deletes a ₦10M invoice, you see who did it.' This contradicts the core PRD v1.0 ledger-integrity principle — invoices are NEVER deleted. They can only be VOIDED (with a mandatory reason), which is a non-destructive status change.</w:t>
            </w:r>
          </w:p>
          <w:p>
            <w:pPr>
              <w:spacing w:after="40" w:before="40"/>
            </w:pPr>
            <w:r>
              <w:rPr>
                <w:rFonts w:ascii="Arial" w:cs="Arial" w:eastAsia="Arial" w:hAnsi="Arial"/>
                <w:b/>
                <w:bCs/>
                <w:color w:val="065F46"/>
                <w:sz w:val="21"/>
                <w:szCs w:val="21"/>
              </w:rPr>
              <w:t xml:space="preserve">Fix applied: </w:t>
            </w:r>
            <w:r>
              <w:rPr>
                <w:rFonts w:ascii="Arial" w:cs="Arial" w:eastAsia="Arial" w:hAnsi="Arial"/>
                <w:color w:val="1E1B2E"/>
                <w:sz w:val="21"/>
                <w:szCs w:val="21"/>
              </w:rPr>
              <w:t xml:space="preserve">Wording corrected to 'If a merchant voids a high-value invoice.' All audit log descriptions updated accordingly. No DELETE operation exists on the invoices table — only status transitions.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4"/>
            </w:tcBorders>
            <w:shd w:fill="FFFBEB" w:val="clear"/>
            <w:tcMar>
              <w:top w:type="dxa" w:w="120"/>
              <w:left w:type="dxa" w:w="240"/>
              <w:bottom w:type="dxa" w:w="120"/>
              <w:right w:type="dxa" w:w="240"/>
            </w:tcMar>
          </w:tcPr>
          <w:p>
            <w:pPr>
              <w:spacing w:after="80" w:before="40"/>
            </w:pPr>
            <w:r>
              <w:rPr>
                <w:rFonts w:ascii="Arial" w:cs="Arial" w:eastAsia="Arial" w:hAnsi="Arial"/>
                <w:b/>
                <w:bCs/>
                <w:color w:val="92400E"/>
                <w:sz w:val="22"/>
                <w:szCs w:val="22"/>
              </w:rPr>
              <w:t xml:space="preserve">CORRECTION 5 — RBAC Schema UUID Consistency</w:t>
            </w:r>
          </w:p>
          <w:p>
            <w:pPr>
              <w:spacing w:after="60" w:before="40"/>
            </w:pPr>
            <w:r>
              <w:rPr>
                <w:rFonts w:ascii="Arial" w:cs="Arial" w:eastAsia="Arial" w:hAnsi="Arial"/>
                <w:b/>
                <w:bCs/>
                <w:color w:val="92400E"/>
                <w:sz w:val="21"/>
                <w:szCs w:val="21"/>
              </w:rPr>
              <w:t xml:space="preserve">Source issue: </w:t>
            </w:r>
            <w:r>
              <w:rPr>
                <w:rFonts w:ascii="Arial" w:cs="Arial" w:eastAsia="Arial" w:hAnsi="Arial"/>
                <w:color w:val="1E1B2E"/>
                <w:sz w:val="21"/>
                <w:szCs w:val="21"/>
              </w:rPr>
              <w:t xml:space="preserve">The roles table used SERIAL PRIMARY KEY (integer). Every other table in the schema (PRD v1.0 Section 5) uses UUID as primary keys. Mixing integer and UUID primary keys creates join inconsistencies and confuses ORM tooling.</w:t>
            </w:r>
          </w:p>
          <w:p>
            <w:pPr>
              <w:spacing w:after="40" w:before="40"/>
            </w:pPr>
            <w:r>
              <w:rPr>
                <w:rFonts w:ascii="Arial" w:cs="Arial" w:eastAsia="Arial" w:hAnsi="Arial"/>
                <w:b/>
                <w:bCs/>
                <w:color w:val="065F46"/>
                <w:sz w:val="21"/>
                <w:szCs w:val="21"/>
              </w:rPr>
              <w:t xml:space="preserve">Fix applied: </w:t>
            </w:r>
            <w:r>
              <w:rPr>
                <w:rFonts w:ascii="Arial" w:cs="Arial" w:eastAsia="Arial" w:hAnsi="Arial"/>
                <w:color w:val="1E1B2E"/>
                <w:sz w:val="21"/>
                <w:szCs w:val="21"/>
              </w:rPr>
              <w:t xml:space="preserve">roles.id changed to UUID DEFAULT gen_random_uuid(). merchant_team.role_id changed to UUID REFERENCES roles(id) accordingly.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FBE" w:sz="4"/>
              <w:left w:val="single" w:color="7B2FBE" w:sz="4"/>
              <w:bottom w:val="single" w:color="7B2FBE" w:sz="4"/>
              <w:right w:val="single" w:color="7B2FBE" w:sz="4"/>
            </w:tcBorders>
            <w:shd w:fill="EDE9FE" w:val="clear"/>
            <w:tcMar>
              <w:top w:type="dxa" w:w="120"/>
              <w:left w:type="dxa" w:w="240"/>
              <w:bottom w:type="dxa" w:w="120"/>
              <w:right w:type="dxa" w:w="240"/>
            </w:tcMar>
          </w:tcPr>
          <w:p>
            <w:pPr>
              <w:spacing w:after="80" w:before="40"/>
            </w:pPr>
            <w:r>
              <w:rPr>
                <w:rFonts w:ascii="Arial" w:cs="Arial" w:eastAsia="Arial" w:hAnsi="Arial"/>
                <w:b/>
                <w:bCs/>
                <w:color w:val="4C1D95"/>
                <w:sz w:val="22"/>
                <w:szCs w:val="22"/>
              </w:rPr>
              <w:t xml:space="preserve">ADDITION 1 — Suspended-Merchant Mid-Transaction State (Missing)</w:t>
            </w:r>
          </w:p>
          <w:p>
            <w:pPr>
              <w:spacing w:after="60" w:before="40"/>
            </w:pPr>
            <w:r>
              <w:rPr>
                <w:rFonts w:ascii="Arial" w:cs="Arial" w:eastAsia="Arial" w:hAnsi="Arial"/>
                <w:b/>
                <w:bCs/>
                <w:color w:val="4C1D95"/>
                <w:sz w:val="21"/>
                <w:szCs w:val="21"/>
              </w:rPr>
              <w:t xml:space="preserve">Gap identified: </w:t>
            </w:r>
            <w:r>
              <w:rPr>
                <w:rFonts w:ascii="Arial" w:cs="Arial" w:eastAsia="Arial" w:hAnsi="Arial"/>
                <w:color w:val="1E1B2E"/>
                <w:sz w:val="21"/>
                <w:szCs w:val="21"/>
              </w:rPr>
              <w:t xml:space="preserve">The source material defined link deactivation on SUSPENDED status but did not specify what happens to Paystack transactions that are in-flight at the moment of suspension (e.g., customer is on the Paystack checkout page when admin suspends the merchant).</w:t>
            </w:r>
          </w:p>
          <w:p>
            <w:pPr>
              <w:spacing w:after="40" w:before="40"/>
            </w:pPr>
            <w:r>
              <w:rPr>
                <w:rFonts w:ascii="Arial" w:cs="Arial" w:eastAsia="Arial" w:hAnsi="Arial"/>
                <w:b/>
                <w:bCs/>
                <w:color w:val="065F46"/>
                <w:sz w:val="21"/>
                <w:szCs w:val="21"/>
              </w:rPr>
              <w:t xml:space="preserve">Decision added: </w:t>
            </w:r>
            <w:r>
              <w:rPr>
                <w:rFonts w:ascii="Arial" w:cs="Arial" w:eastAsia="Arial" w:hAnsi="Arial"/>
                <w:color w:val="1E1B2E"/>
                <w:sz w:val="21"/>
                <w:szCs w:val="21"/>
              </w:rPr>
              <w:t xml:space="preserve">In-flight Paystack transactions (status: 'pending') are allowed to complete. On the webhook callback, the system checks merchant verification_status before updating invoice records. If SUSPENDED, the transaction is logged as success but funds are held pending admin review (implemented via Paystack's hold mechanism or manual subaccount freeze). See Section 12.6.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FBE" w:sz="4"/>
              <w:left w:val="single" w:color="7B2FBE" w:sz="4"/>
              <w:bottom w:val="single" w:color="7B2FBE" w:sz="4"/>
              <w:right w:val="single" w:color="7B2FBE" w:sz="4"/>
            </w:tcBorders>
            <w:shd w:fill="EDE9FE" w:val="clear"/>
            <w:tcMar>
              <w:top w:type="dxa" w:w="120"/>
              <w:left w:type="dxa" w:w="240"/>
              <w:bottom w:type="dxa" w:w="120"/>
              <w:right w:type="dxa" w:w="240"/>
            </w:tcMar>
          </w:tcPr>
          <w:p>
            <w:pPr>
              <w:spacing w:after="80" w:before="40"/>
            </w:pPr>
            <w:r>
              <w:rPr>
                <w:rFonts w:ascii="Arial" w:cs="Arial" w:eastAsia="Arial" w:hAnsi="Arial"/>
                <w:b/>
                <w:bCs/>
                <w:color w:val="4C1D95"/>
                <w:sz w:val="22"/>
                <w:szCs w:val="22"/>
              </w:rPr>
              <w:t xml:space="preserve">ADDITION 2 — Tier-Up Cooldown Window (Anti-Gaming)</w:t>
            </w:r>
          </w:p>
          <w:p>
            <w:pPr>
              <w:spacing w:after="60" w:before="40"/>
            </w:pPr>
            <w:r>
              <w:rPr>
                <w:rFonts w:ascii="Arial" w:cs="Arial" w:eastAsia="Arial" w:hAnsi="Arial"/>
                <w:b/>
                <w:bCs/>
                <w:color w:val="4C1D95"/>
                <w:sz w:val="21"/>
                <w:szCs w:val="21"/>
              </w:rPr>
              <w:t xml:space="preserve">Gap identified: </w:t>
            </w:r>
            <w:r>
              <w:rPr>
                <w:rFonts w:ascii="Arial" w:cs="Arial" w:eastAsia="Arial" w:hAnsi="Arial"/>
                <w:color w:val="1E1B2E"/>
                <w:sz w:val="21"/>
                <w:szCs w:val="21"/>
              </w:rPr>
              <w:t xml:space="preserve">The automated Tier-Up rule (₦1,000,000 collected without disputes) had no minimum time window. A merchant could theoretically invoice a friendly connection for ₦1M, collect immediately, and auto-upgrade in day one — bypassing the intent of the review.</w:t>
            </w:r>
          </w:p>
          <w:p>
            <w:pPr>
              <w:spacing w:after="40" w:before="40"/>
            </w:pPr>
            <w:r>
              <w:rPr>
                <w:rFonts w:ascii="Arial" w:cs="Arial" w:eastAsia="Arial" w:hAnsi="Arial"/>
                <w:b/>
                <w:bCs/>
                <w:color w:val="065F46"/>
                <w:sz w:val="21"/>
                <w:szCs w:val="21"/>
              </w:rPr>
              <w:t xml:space="preserve">Rule added: </w:t>
            </w:r>
            <w:r>
              <w:rPr>
                <w:rFonts w:ascii="Arial" w:cs="Arial" w:eastAsia="Arial" w:hAnsi="Arial"/>
                <w:color w:val="1E1B2E"/>
                <w:sz w:val="21"/>
                <w:szCs w:val="21"/>
              </w:rPr>
              <w:t xml:space="preserve">Automated Tier-Up invitation requires: (a) ₦1,000,000+ successfully collected AND (b) account age ≥ 60 days AND (c) zero chargebacks in the past 90 days. All three conditions must be true simultaneously. See Section 13.3.</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FBE" w:sz="4"/>
              <w:left w:val="single" w:color="7B2FBE" w:sz="4"/>
              <w:bottom w:val="single" w:color="7B2FBE" w:sz="4"/>
              <w:right w:val="single" w:color="7B2FBE" w:sz="4"/>
            </w:tcBorders>
            <w:shd w:fill="EDE9FE" w:val="clear"/>
            <w:tcMar>
              <w:top w:type="dxa" w:w="120"/>
              <w:left w:type="dxa" w:w="240"/>
              <w:bottom w:type="dxa" w:w="120"/>
              <w:right w:type="dxa" w:w="240"/>
            </w:tcMar>
          </w:tcPr>
          <w:p>
            <w:pPr>
              <w:spacing w:after="80" w:before="40"/>
            </w:pPr>
            <w:r>
              <w:rPr>
                <w:rFonts w:ascii="Arial" w:cs="Arial" w:eastAsia="Arial" w:hAnsi="Arial"/>
                <w:b/>
                <w:bCs/>
                <w:color w:val="4C1D95"/>
                <w:sz w:val="22"/>
                <w:szCs w:val="22"/>
              </w:rPr>
              <w:t xml:space="preserve">ADDITION 3 — Invite Flow: Existing vs. New User (Missing)</w:t>
            </w:r>
          </w:p>
          <w:p>
            <w:pPr>
              <w:spacing w:after="60" w:before="40"/>
            </w:pPr>
            <w:r>
              <w:rPr>
                <w:rFonts w:ascii="Arial" w:cs="Arial" w:eastAsia="Arial" w:hAnsi="Arial"/>
                <w:b/>
                <w:bCs/>
                <w:color w:val="4C1D95"/>
                <w:sz w:val="21"/>
                <w:szCs w:val="21"/>
              </w:rPr>
              <w:t xml:space="preserve">Gap identified: </w:t>
            </w:r>
            <w:r>
              <w:rPr>
                <w:rFonts w:ascii="Arial" w:cs="Arial" w:eastAsia="Arial" w:hAnsi="Arial"/>
                <w:color w:val="1E1B2E"/>
                <w:sz w:val="21"/>
                <w:szCs w:val="21"/>
              </w:rPr>
              <w:t xml:space="preserve">The RBAC 'Add Member' flow described generating an invite link but did not differentiate between inviting someone who already has a PurpLedger account and someone brand new. These require different backend flows.</w:t>
            </w:r>
          </w:p>
          <w:p>
            <w:pPr>
              <w:spacing w:after="40" w:before="40"/>
            </w:pPr>
            <w:r>
              <w:rPr>
                <w:rFonts w:ascii="Arial" w:cs="Arial" w:eastAsia="Arial" w:hAnsi="Arial"/>
                <w:b/>
                <w:bCs/>
                <w:color w:val="065F46"/>
                <w:sz w:val="21"/>
                <w:szCs w:val="21"/>
              </w:rPr>
              <w:t xml:space="preserve">Spec added: </w:t>
            </w:r>
            <w:r>
              <w:rPr>
                <w:rFonts w:ascii="Arial" w:cs="Arial" w:eastAsia="Arial" w:hAnsi="Arial"/>
                <w:color w:val="1E1B2E"/>
                <w:sz w:val="21"/>
                <w:szCs w:val="21"/>
              </w:rPr>
              <w:t xml:space="preserve">Two-path invite resolution defined in Section 14.2.3: Existing Account Path (email matched in auth.users — link auto-associates on click, no new signup) and New Account Path (email not found — link redirects to streamlined signup that pre-populates merchant_team record on account creation).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FBE" w:sz="4"/>
              <w:left w:val="single" w:color="7B2FBE" w:sz="4"/>
              <w:bottom w:val="single" w:color="7B2FBE" w:sz="4"/>
              <w:right w:val="single" w:color="7B2FBE" w:sz="4"/>
            </w:tcBorders>
            <w:shd w:fill="EDE9FE" w:val="clear"/>
            <w:tcMar>
              <w:top w:type="dxa" w:w="120"/>
              <w:left w:type="dxa" w:w="240"/>
              <w:bottom w:type="dxa" w:w="120"/>
              <w:right w:type="dxa" w:w="240"/>
            </w:tcMar>
          </w:tcPr>
          <w:p>
            <w:pPr>
              <w:spacing w:after="80" w:before="40"/>
            </w:pPr>
            <w:r>
              <w:rPr>
                <w:rFonts w:ascii="Arial" w:cs="Arial" w:eastAsia="Arial" w:hAnsi="Arial"/>
                <w:b/>
                <w:bCs/>
                <w:color w:val="4C1D95"/>
                <w:sz w:val="22"/>
                <w:szCs w:val="22"/>
              </w:rPr>
              <w:t xml:space="preserve">ADDITION 4 — Manual Close Permission (RBAC Gap)</w:t>
            </w:r>
          </w:p>
          <w:p>
            <w:pPr>
              <w:spacing w:after="60" w:before="40"/>
            </w:pPr>
            <w:r>
              <w:rPr>
                <w:rFonts w:ascii="Arial" w:cs="Arial" w:eastAsia="Arial" w:hAnsi="Arial"/>
                <w:b/>
                <w:bCs/>
                <w:color w:val="4C1D95"/>
                <w:sz w:val="21"/>
                <w:szCs w:val="21"/>
              </w:rPr>
              <w:t xml:space="preserve">Gap identified: </w:t>
            </w:r>
            <w:r>
              <w:rPr>
                <w:rFonts w:ascii="Arial" w:cs="Arial" w:eastAsia="Arial" w:hAnsi="Arial"/>
                <w:color w:val="1E1B2E"/>
                <w:sz w:val="21"/>
                <w:szCs w:val="21"/>
              </w:rPr>
              <w:t xml:space="preserve">The Accountant role as defined can create and manage invoices, but neither the source material nor PRD v1.0 explicitly stated whether Accountants can execute Manual Invoice Closure — a high-stakes, irreversible action with audit implications.</w:t>
            </w:r>
          </w:p>
          <w:p>
            <w:pPr>
              <w:spacing w:after="40" w:before="40"/>
            </w:pPr>
            <w:r>
              <w:rPr>
                <w:rFonts w:ascii="Arial" w:cs="Arial" w:eastAsia="Arial" w:hAnsi="Arial"/>
                <w:b/>
                <w:bCs/>
                <w:color w:val="065F46"/>
                <w:sz w:val="21"/>
                <w:szCs w:val="21"/>
              </w:rPr>
              <w:t xml:space="preserve">Decision added: </w:t>
            </w:r>
            <w:r>
              <w:rPr>
                <w:rFonts w:ascii="Arial" w:cs="Arial" w:eastAsia="Arial" w:hAnsi="Arial"/>
                <w:color w:val="1E1B2E"/>
                <w:sz w:val="21"/>
                <w:szCs w:val="21"/>
              </w:rPr>
              <w:t xml:space="preserve">Manual Invoice Closure and Invoice Void are OWNER-ONLY actions. Accountants can create, edit (pre-payment), and view invoices, but the 'Close Manually' and 'Void' buttons are hidden and the API endpoint returns 403 for non-Owner roles. This is reflected in the RBAC permissions matrix in Section 14.1.</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FBE" w:sz="4"/>
              <w:left w:val="single" w:color="7B2FBE" w:sz="4"/>
              <w:bottom w:val="single" w:color="7B2FBE" w:sz="4"/>
              <w:right w:val="single" w:color="7B2FBE" w:sz="4"/>
            </w:tcBorders>
            <w:shd w:fill="2D1B6B" w:val="clear"/>
            <w:tcMar>
              <w:top w:type="dxa" w:w="180"/>
              <w:left w:type="dxa" w:w="280"/>
              <w:bottom w:type="dxa" w:w="80"/>
              <w:right w:type="dxa" w:w="280"/>
            </w:tcMar>
          </w:tcPr>
          <w:p>
            <w:pPr>
              <w:jc w:val="center"/>
            </w:pPr>
            <w:r>
              <w:rPr>
                <w:rFonts w:ascii="Arial" w:cs="Arial" w:eastAsia="Arial" w:hAnsi="Arial"/>
                <w:b/>
                <w:bCs/>
                <w:color w:val="FFFFFF"/>
                <w:sz w:val="34"/>
                <w:szCs w:val="34"/>
              </w:rPr>
              <w:t xml:space="preserve">12. MERCHANT VERIFICATION &amp; COMPLIANCE</w:t>
            </w:r>
          </w:p>
          <w:p>
            <w:pPr>
              <w:spacing w:after="100" w:before="60"/>
              <w:jc w:val="center"/>
            </w:pPr>
            <w:r>
              <w:rPr>
                <w:rFonts w:ascii="Arial" w:cs="Arial" w:eastAsia="Arial" w:hAnsi="Arial"/>
                <w:color w:val="C4B5FD"/>
                <w:sz w:val="20"/>
                <w:szCs w:val="20"/>
              </w:rPr>
              <w:t xml:space="preserve">Staged Access — Tiered Verification Model</w:t>
            </w:r>
          </w:p>
        </w:tc>
      </w:tr>
    </w:tbl>
    <w:p>
      <w:pPr>
        <w:spacing w:after="80" w:before="80"/>
      </w:pPr>
      <w:r>
        <w:t xml:space="preserve"/>
      </w:r>
    </w:p>
    <w:p>
      <w:pPr>
        <w:pStyle w:val="Heading2"/>
        <w:spacing w:after="120" w:before="320"/>
      </w:pPr>
      <w:r>
        <w:rPr>
          <w:rFonts w:ascii="Arial" w:cs="Arial" w:eastAsia="Arial" w:hAnsi="Arial"/>
          <w:b/>
          <w:bCs/>
          <w:color w:val="7B2FBE"/>
          <w:sz w:val="28"/>
          <w:szCs w:val="28"/>
        </w:rPr>
        <w:t xml:space="preserve">12.1 Overview</w:t>
      </w:r>
    </w:p>
    <w:p>
      <w:pPr>
        <w:spacing w:after="80" w:before="80"/>
      </w:pPr>
      <w:r>
        <w:rPr>
          <w:rFonts w:ascii="Arial" w:cs="Arial" w:eastAsia="Arial" w:hAnsi="Arial"/>
          <w:color w:val="1E1B2E"/>
          <w:sz w:val="22"/>
          <w:szCs w:val="22"/>
        </w:rPr>
        <w:t xml:space="preserve">To balance aggressive user acquisition with financial and legal safety, PurpLedger implements a Tiered Verification Model. This architecture allows unregistered businesses — freelancers, sole traders, small vendors — to immediately benefit from the Smart Ledger bookkeeping tools, while strictly gating the Paystack payment collection features behind identity verification.</w:t>
      </w:r>
    </w:p>
    <w:p>
      <w:pPr>
        <w:spacing w:after="80" w:before="80"/>
      </w:pPr>
      <w:r>
        <w:rPr>
          <w:rFonts w:ascii="Arial" w:cs="Arial" w:eastAsia="Arial" w:hAnsi="Arial"/>
          <w:color w:val="1E1B2E"/>
          <w:sz w:val="22"/>
          <w:szCs w:val="22"/>
        </w:rPr>
        <w:t xml:space="preserve">The model follows a "Land and Expand" growth strategy: acquire users with zero friction, convert them to live payment collection once trust is established.</w:t>
      </w:r>
    </w:p>
    <w:p>
      <w:pPr>
        <w:spacing w:after="80" w:before="80"/>
      </w:pPr>
      <w:r>
        <w:t xml:space="preserve"/>
      </w:r>
    </w:p>
    <w:p>
      <w:pPr>
        <w:pStyle w:val="Heading2"/>
        <w:spacing w:after="120" w:before="320"/>
      </w:pPr>
      <w:r>
        <w:rPr>
          <w:rFonts w:ascii="Arial" w:cs="Arial" w:eastAsia="Arial" w:hAnsi="Arial"/>
          <w:b/>
          <w:bCs/>
          <w:color w:val="7B2FBE"/>
          <w:sz w:val="28"/>
          <w:szCs w:val="28"/>
        </w:rPr>
        <w:t xml:space="preserve">12.2 Merchant Tiers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60"/>
        <w:gridCol w:w="2160"/>
        <w:gridCol w:w="2160"/>
        <w:gridCol w:w="1480"/>
      </w:tblGrid>
      <w:tr>
        <w:trPr>
          <w:tblHeader/>
        </w:trPr>
        <w:tc>
          <w:tcPr>
            <w:tcW w:type="dxa" w:w="2000"/>
            <w:tcBorders>
              <w:top w:val="single" w:color="DDD6FE" w:sz="4"/>
              <w:left w:val="single" w:color="DDD6FE" w:sz="4"/>
              <w:bottom w:val="single" w:color="DDD6FE" w:sz="4"/>
              <w:right w:val="single" w:color="DDD6FE" w:sz="4"/>
            </w:tcBorders>
            <w:shd w:fill="2D1B6B" w:val="clear"/>
            <w:tcMar>
              <w:top w:type="dxa" w:w="70"/>
              <w:left w:type="dxa" w:w="120"/>
              <w:bottom w:type="dxa" w:w="70"/>
              <w:right w:type="dxa" w:w="120"/>
            </w:tcMar>
          </w:tcPr>
          <w:p>
            <w:r>
              <w:rPr>
                <w:rFonts w:ascii="Arial" w:cs="Arial" w:eastAsia="Arial" w:hAnsi="Arial"/>
                <w:b/>
                <w:bCs/>
                <w:color w:val="FFFFFF"/>
                <w:sz w:val="19"/>
                <w:szCs w:val="19"/>
              </w:rPr>
              <w:t xml:space="preserve">Feature</w:t>
            </w:r>
          </w:p>
        </w:tc>
        <w:tc>
          <w:tcPr>
            <w:tcW w:type="dxa" w:w="1560"/>
            <w:tcBorders>
              <w:top w:val="single" w:color="DDD6FE" w:sz="4"/>
              <w:left w:val="single" w:color="DDD6FE" w:sz="4"/>
              <w:bottom w:val="single" w:color="DDD6FE" w:sz="4"/>
              <w:right w:val="single" w:color="DDD6FE" w:sz="4"/>
            </w:tcBorders>
            <w:shd w:fill="2D1B6B" w:val="clear"/>
            <w:tcMar>
              <w:top w:type="dxa" w:w="70"/>
              <w:left w:type="dxa" w:w="120"/>
              <w:bottom w:type="dxa" w:w="70"/>
              <w:right w:type="dxa" w:w="120"/>
            </w:tcMar>
          </w:tcPr>
          <w:p>
            <w:r>
              <w:rPr>
                <w:rFonts w:ascii="Arial" w:cs="Arial" w:eastAsia="Arial" w:hAnsi="Arial"/>
                <w:b/>
                <w:bCs/>
                <w:color w:val="FFFFFF"/>
                <w:sz w:val="19"/>
                <w:szCs w:val="19"/>
              </w:rPr>
              <w:t xml:space="preserve">Tier 0: Starter</w:t>
            </w:r>
          </w:p>
        </w:tc>
        <w:tc>
          <w:tcPr>
            <w:tcW w:type="dxa" w:w="2160"/>
            <w:tcBorders>
              <w:top w:val="single" w:color="DDD6FE" w:sz="4"/>
              <w:left w:val="single" w:color="DDD6FE" w:sz="4"/>
              <w:bottom w:val="single" w:color="DDD6FE" w:sz="4"/>
              <w:right w:val="single" w:color="DDD6FE" w:sz="4"/>
            </w:tcBorders>
            <w:shd w:fill="2D1B6B" w:val="clear"/>
            <w:tcMar>
              <w:top w:type="dxa" w:w="70"/>
              <w:left w:type="dxa" w:w="120"/>
              <w:bottom w:type="dxa" w:w="70"/>
              <w:right w:type="dxa" w:w="120"/>
            </w:tcMar>
          </w:tcPr>
          <w:p>
            <w:r>
              <w:rPr>
                <w:rFonts w:ascii="Arial" w:cs="Arial" w:eastAsia="Arial" w:hAnsi="Arial"/>
                <w:b/>
                <w:bCs/>
                <w:color w:val="FFFFFF"/>
                <w:sz w:val="19"/>
                <w:szCs w:val="19"/>
              </w:rPr>
              <w:t xml:space="preserve">Tier 1: Individual</w:t>
            </w:r>
          </w:p>
        </w:tc>
        <w:tc>
          <w:tcPr>
            <w:tcW w:type="dxa" w:w="2160"/>
            <w:tcBorders>
              <w:top w:val="single" w:color="DDD6FE" w:sz="4"/>
              <w:left w:val="single" w:color="DDD6FE" w:sz="4"/>
              <w:bottom w:val="single" w:color="DDD6FE" w:sz="4"/>
              <w:right w:val="single" w:color="DDD6FE" w:sz="4"/>
            </w:tcBorders>
            <w:shd w:fill="2D1B6B" w:val="clear"/>
            <w:tcMar>
              <w:top w:type="dxa" w:w="70"/>
              <w:left w:type="dxa" w:w="120"/>
              <w:bottom w:type="dxa" w:w="70"/>
              <w:right w:type="dxa" w:w="120"/>
            </w:tcMar>
          </w:tcPr>
          <w:p>
            <w:r>
              <w:rPr>
                <w:rFonts w:ascii="Arial" w:cs="Arial" w:eastAsia="Arial" w:hAnsi="Arial"/>
                <w:b/>
                <w:bCs/>
                <w:color w:val="FFFFFF"/>
                <w:sz w:val="19"/>
                <w:szCs w:val="19"/>
              </w:rPr>
              <w:t xml:space="preserve">Tier 2: Corporate</w:t>
            </w:r>
          </w:p>
        </w:tc>
        <w:tc>
          <w:tcPr>
            <w:tcW w:type="dxa" w:w="1480"/>
            <w:tcBorders>
              <w:top w:val="single" w:color="DDD6FE" w:sz="4"/>
              <w:left w:val="single" w:color="DDD6FE" w:sz="4"/>
              <w:bottom w:val="single" w:color="DDD6FE" w:sz="4"/>
              <w:right w:val="single" w:color="DDD6FE" w:sz="4"/>
            </w:tcBorders>
            <w:shd w:fill="2D1B6B" w:val="clear"/>
            <w:tcMar>
              <w:top w:type="dxa" w:w="70"/>
              <w:left w:type="dxa" w:w="120"/>
              <w:bottom w:type="dxa" w:w="70"/>
              <w:right w:type="dxa" w:w="120"/>
            </w:tcMar>
          </w:tcPr>
          <w:p>
            <w:r>
              <w:rPr>
                <w:rFonts w:ascii="Arial" w:cs="Arial" w:eastAsia="Arial" w:hAnsi="Arial"/>
                <w:b/>
                <w:bCs/>
                <w:color w:val="FFFFFF"/>
                <w:sz w:val="19"/>
                <w:szCs w:val="19"/>
              </w:rPr>
              <w:t xml:space="preserve">Notes</w:t>
            </w:r>
          </w:p>
        </w:tc>
      </w:tr>
      <w:tr>
        <w:trPr>
          <w:tblHeader w:val="false"/>
        </w:trPr>
        <w:tc>
          <w:tcPr>
            <w:tcW w:type="dxa" w:w="2000"/>
            <w:tcBorders>
              <w:top w:val="single" w:color="DDD6FE" w:sz="4"/>
              <w:left w:val="single" w:color="DDD6FE" w:sz="4"/>
              <w:bottom w:val="single" w:color="DDD6FE" w:sz="4"/>
              <w:right w:val="single" w:color="DDD6FE" w:sz="4"/>
            </w:tcBorders>
            <w:shd w:fill="EDE9FE" w:val="clear"/>
            <w:tcMar>
              <w:top w:type="dxa" w:w="70"/>
              <w:left w:type="dxa" w:w="120"/>
              <w:bottom w:type="dxa" w:w="70"/>
              <w:right w:type="dxa" w:w="120"/>
            </w:tcMar>
          </w:tcPr>
          <w:p>
            <w:r>
              <w:rPr>
                <w:rFonts w:ascii="Arial" w:cs="Arial" w:eastAsia="Arial" w:hAnsi="Arial"/>
                <w:b/>
                <w:bCs/>
                <w:color w:val="1E1B2E"/>
                <w:sz w:val="19"/>
                <w:szCs w:val="19"/>
              </w:rPr>
              <w:t xml:space="preserve">Requirements</w:t>
            </w:r>
          </w:p>
        </w:tc>
        <w:tc>
          <w:tcPr>
            <w:tcW w:type="dxa" w:w="1560"/>
            <w:tcBorders>
              <w:top w:val="single" w:color="DDD6FE" w:sz="4"/>
              <w:left w:val="single" w:color="DDD6FE" w:sz="4"/>
              <w:bottom w:val="single" w:color="DDD6FE" w:sz="4"/>
              <w:right w:val="single" w:color="DDD6FE" w:sz="4"/>
            </w:tcBorders>
            <w:shd w:fill="F8F7FF" w:val="clear"/>
            <w:tcMar>
              <w:top w:type="dxa" w:w="70"/>
              <w:left w:type="dxa" w:w="120"/>
              <w:bottom w:type="dxa" w:w="70"/>
              <w:right w:type="dxa" w:w="120"/>
            </w:tcMar>
          </w:tcPr>
          <w:p>
            <w:r>
              <w:rPr>
                <w:rFonts w:ascii="Arial" w:cs="Arial" w:eastAsia="Arial" w:hAnsi="Arial"/>
                <w:b w:val="false"/>
                <w:bCs w:val="false"/>
                <w:color w:val="1E1B2E"/>
                <w:sz w:val="19"/>
                <w:szCs w:val="19"/>
              </w:rPr>
              <w:t xml:space="preserve">Email + Business Name</w:t>
            </w:r>
          </w:p>
        </w:tc>
        <w:tc>
          <w:tcPr>
            <w:tcW w:type="dxa" w:w="2160"/>
            <w:tcBorders>
              <w:top w:val="single" w:color="DDD6FE" w:sz="4"/>
              <w:left w:val="single" w:color="DDD6FE" w:sz="4"/>
              <w:bottom w:val="single" w:color="DDD6FE" w:sz="4"/>
              <w:right w:val="single" w:color="DDD6FE" w:sz="4"/>
            </w:tcBorders>
            <w:shd w:fill="F8F7FF" w:val="clear"/>
            <w:tcMar>
              <w:top w:type="dxa" w:w="70"/>
              <w:left w:type="dxa" w:w="120"/>
              <w:bottom w:type="dxa" w:w="70"/>
              <w:right w:type="dxa" w:w="120"/>
            </w:tcMar>
          </w:tcPr>
          <w:p>
            <w:r>
              <w:rPr>
                <w:rFonts w:ascii="Arial" w:cs="Arial" w:eastAsia="Arial" w:hAnsi="Arial"/>
                <w:b w:val="false"/>
                <w:bCs w:val="false"/>
                <w:color w:val="1E1B2E"/>
                <w:sz w:val="19"/>
                <w:szCs w:val="19"/>
              </w:rPr>
              <w:t xml:space="preserve">NIN or BVN + Phone</w:t>
            </w:r>
          </w:p>
        </w:tc>
        <w:tc>
          <w:tcPr>
            <w:tcW w:type="dxa" w:w="2160"/>
            <w:tcBorders>
              <w:top w:val="single" w:color="DDD6FE" w:sz="4"/>
              <w:left w:val="single" w:color="DDD6FE" w:sz="4"/>
              <w:bottom w:val="single" w:color="DDD6FE" w:sz="4"/>
              <w:right w:val="single" w:color="DDD6FE" w:sz="4"/>
            </w:tcBorders>
            <w:shd w:fill="F8F7FF" w:val="clear"/>
            <w:tcMar>
              <w:top w:type="dxa" w:w="70"/>
              <w:left w:type="dxa" w:w="120"/>
              <w:bottom w:type="dxa" w:w="70"/>
              <w:right w:type="dxa" w:w="120"/>
            </w:tcMar>
          </w:tcPr>
          <w:p>
            <w:r>
              <w:rPr>
                <w:rFonts w:ascii="Arial" w:cs="Arial" w:eastAsia="Arial" w:hAnsi="Arial"/>
                <w:b w:val="false"/>
                <w:bCs w:val="false"/>
                <w:color w:val="1E1B2E"/>
                <w:sz w:val="19"/>
                <w:szCs w:val="19"/>
              </w:rPr>
              <w:t xml:space="preserve">CAC Docs + Business Bank Acc</w:t>
            </w:r>
          </w:p>
        </w:tc>
        <w:tc>
          <w:tcPr>
            <w:tcW w:type="dxa" w:w="1480"/>
            <w:tcBorders>
              <w:top w:val="single" w:color="DDD6FE" w:sz="4"/>
              <w:left w:val="single" w:color="DDD6FE" w:sz="4"/>
              <w:bottom w:val="single" w:color="DDD6FE" w:sz="4"/>
              <w:right w:val="single" w:color="DDD6FE" w:sz="4"/>
            </w:tcBorders>
            <w:shd w:fill="F8F7FF" w:val="clear"/>
            <w:tcMar>
              <w:top w:type="dxa" w:w="70"/>
              <w:left w:type="dxa" w:w="120"/>
              <w:bottom w:type="dxa" w:w="70"/>
              <w:right w:type="dxa" w:w="120"/>
            </w:tcMar>
          </w:tcPr>
          <w:p>
            <w:r>
              <w:rPr>
                <w:rFonts w:ascii="Arial" w:cs="Arial" w:eastAsia="Arial" w:hAnsi="Arial"/>
                <w:b w:val="false"/>
                <w:bCs w:val="false"/>
                <w:color w:val="1E1B2E"/>
                <w:sz w:val="19"/>
                <w:szCs w:val="19"/>
              </w:rPr>
              <w:t xml:space="preserve"/>
            </w:r>
          </w:p>
        </w:tc>
      </w:tr>
      <w:tr>
        <w:trPr>
          <w:tblHeader w:val="false"/>
        </w:trPr>
        <w:tc>
          <w:tcPr>
            <w:tcW w:type="dxa" w:w="2000"/>
            <w:tcBorders>
              <w:top w:val="single" w:color="DDD6FE" w:sz="4"/>
              <w:left w:val="single" w:color="DDD6FE" w:sz="4"/>
              <w:bottom w:val="single" w:color="DDD6FE" w:sz="4"/>
              <w:right w:val="single" w:color="DDD6FE" w:sz="4"/>
            </w:tcBorders>
            <w:shd w:fill="EDE9FE" w:val="clear"/>
            <w:tcMar>
              <w:top w:type="dxa" w:w="70"/>
              <w:left w:type="dxa" w:w="120"/>
              <w:bottom w:type="dxa" w:w="70"/>
              <w:right w:type="dxa" w:w="120"/>
            </w:tcMar>
          </w:tcPr>
          <w:p>
            <w:r>
              <w:rPr>
                <w:rFonts w:ascii="Arial" w:cs="Arial" w:eastAsia="Arial" w:hAnsi="Arial"/>
                <w:b/>
                <w:bCs/>
                <w:color w:val="1E1B2E"/>
                <w:sz w:val="19"/>
                <w:szCs w:val="19"/>
              </w:rPr>
              <w:t xml:space="preserve">Draft Invoicing</w:t>
            </w:r>
          </w:p>
        </w:tc>
        <w:tc>
          <w:tcPr>
            <w:tcW w:type="dxa" w:w="1560"/>
            <w:tcBorders>
              <w:top w:val="single" w:color="DDD6FE" w:sz="4"/>
              <w:left w:val="single" w:color="DDD6FE" w:sz="4"/>
              <w:bottom w:val="single" w:color="DDD6FE" w:sz="4"/>
              <w:right w:val="single" w:color="DDD6FE" w:sz="4"/>
            </w:tcBorders>
            <w:shd w:fill="FFFFFF" w:val="clear"/>
            <w:tcMar>
              <w:top w:type="dxa" w:w="70"/>
              <w:left w:type="dxa" w:w="120"/>
              <w:bottom w:type="dxa" w:w="70"/>
              <w:right w:type="dxa" w:w="120"/>
            </w:tcMar>
          </w:tcPr>
          <w:p>
            <w:r>
              <w:rPr>
                <w:rFonts w:ascii="Arial" w:cs="Arial" w:eastAsia="Arial" w:hAnsi="Arial"/>
                <w:b w:val="false"/>
                <w:bCs w:val="false"/>
                <w:color w:val="065F46"/>
                <w:sz w:val="19"/>
                <w:szCs w:val="19"/>
              </w:rPr>
              <w:t xml:space="preserve">✓ Enabled</w:t>
            </w:r>
          </w:p>
        </w:tc>
        <w:tc>
          <w:tcPr>
            <w:tcW w:type="dxa" w:w="2160"/>
            <w:tcBorders>
              <w:top w:val="single" w:color="DDD6FE" w:sz="4"/>
              <w:left w:val="single" w:color="DDD6FE" w:sz="4"/>
              <w:bottom w:val="single" w:color="DDD6FE" w:sz="4"/>
              <w:right w:val="single" w:color="DDD6FE" w:sz="4"/>
            </w:tcBorders>
            <w:shd w:fill="FFFFFF" w:val="clear"/>
            <w:tcMar>
              <w:top w:type="dxa" w:w="70"/>
              <w:left w:type="dxa" w:w="120"/>
              <w:bottom w:type="dxa" w:w="70"/>
              <w:right w:type="dxa" w:w="120"/>
            </w:tcMar>
          </w:tcPr>
          <w:p>
            <w:r>
              <w:rPr>
                <w:rFonts w:ascii="Arial" w:cs="Arial" w:eastAsia="Arial" w:hAnsi="Arial"/>
                <w:b w:val="false"/>
                <w:bCs w:val="false"/>
                <w:color w:val="065F46"/>
                <w:sz w:val="19"/>
                <w:szCs w:val="19"/>
              </w:rPr>
              <w:t xml:space="preserve">✓ Enabled</w:t>
            </w:r>
          </w:p>
        </w:tc>
        <w:tc>
          <w:tcPr>
            <w:tcW w:type="dxa" w:w="2160"/>
            <w:tcBorders>
              <w:top w:val="single" w:color="DDD6FE" w:sz="4"/>
              <w:left w:val="single" w:color="DDD6FE" w:sz="4"/>
              <w:bottom w:val="single" w:color="DDD6FE" w:sz="4"/>
              <w:right w:val="single" w:color="DDD6FE" w:sz="4"/>
            </w:tcBorders>
            <w:shd w:fill="FFFFFF" w:val="clear"/>
            <w:tcMar>
              <w:top w:type="dxa" w:w="70"/>
              <w:left w:type="dxa" w:w="120"/>
              <w:bottom w:type="dxa" w:w="70"/>
              <w:right w:type="dxa" w:w="120"/>
            </w:tcMar>
          </w:tcPr>
          <w:p>
            <w:r>
              <w:rPr>
                <w:rFonts w:ascii="Arial" w:cs="Arial" w:eastAsia="Arial" w:hAnsi="Arial"/>
                <w:b w:val="false"/>
                <w:bCs w:val="false"/>
                <w:color w:val="065F46"/>
                <w:sz w:val="19"/>
                <w:szCs w:val="19"/>
              </w:rPr>
              <w:t xml:space="preserve">✓ Enabled</w:t>
            </w:r>
          </w:p>
        </w:tc>
        <w:tc>
          <w:tcPr>
            <w:tcW w:type="dxa" w:w="1480"/>
            <w:tcBorders>
              <w:top w:val="single" w:color="DDD6FE" w:sz="4"/>
              <w:left w:val="single" w:color="DDD6FE" w:sz="4"/>
              <w:bottom w:val="single" w:color="DDD6FE" w:sz="4"/>
              <w:right w:val="single" w:color="DDD6FE" w:sz="4"/>
            </w:tcBorders>
            <w:shd w:fill="FFFFFF" w:val="clear"/>
            <w:tcMar>
              <w:top w:type="dxa" w:w="70"/>
              <w:left w:type="dxa" w:w="120"/>
              <w:bottom w:type="dxa" w:w="70"/>
              <w:right w:type="dxa" w:w="120"/>
            </w:tcMar>
          </w:tcPr>
          <w:p>
            <w:r>
              <w:rPr>
                <w:rFonts w:ascii="Arial" w:cs="Arial" w:eastAsia="Arial" w:hAnsi="Arial"/>
                <w:b w:val="false"/>
                <w:bCs w:val="false"/>
                <w:color w:val="1E1B2E"/>
                <w:sz w:val="19"/>
                <w:szCs w:val="19"/>
              </w:rPr>
              <w:t xml:space="preserve">All tiers can create invoices</w:t>
            </w:r>
          </w:p>
        </w:tc>
      </w:tr>
      <w:tr>
        <w:trPr>
          <w:tblHeader w:val="false"/>
        </w:trPr>
        <w:tc>
          <w:tcPr>
            <w:tcW w:type="dxa" w:w="2000"/>
            <w:tcBorders>
              <w:top w:val="single" w:color="DDD6FE" w:sz="4"/>
              <w:left w:val="single" w:color="DDD6FE" w:sz="4"/>
              <w:bottom w:val="single" w:color="DDD6FE" w:sz="4"/>
              <w:right w:val="single" w:color="DDD6FE" w:sz="4"/>
            </w:tcBorders>
            <w:shd w:fill="EDE9FE" w:val="clear"/>
            <w:tcMar>
              <w:top w:type="dxa" w:w="70"/>
              <w:left w:type="dxa" w:w="120"/>
              <w:bottom w:type="dxa" w:w="70"/>
              <w:right w:type="dxa" w:w="120"/>
            </w:tcMar>
          </w:tcPr>
          <w:p>
            <w:r>
              <w:rPr>
                <w:rFonts w:ascii="Arial" w:cs="Arial" w:eastAsia="Arial" w:hAnsi="Arial"/>
                <w:b/>
                <w:bCs/>
                <w:color w:val="1E1B2E"/>
                <w:sz w:val="19"/>
                <w:szCs w:val="19"/>
              </w:rPr>
              <w:t xml:space="preserve">Payment Links</w:t>
            </w:r>
          </w:p>
        </w:tc>
        <w:tc>
          <w:tcPr>
            <w:tcW w:type="dxa" w:w="1560"/>
            <w:tcBorders>
              <w:top w:val="single" w:color="DDD6FE" w:sz="4"/>
              <w:left w:val="single" w:color="DDD6FE" w:sz="4"/>
              <w:bottom w:val="single" w:color="DDD6FE" w:sz="4"/>
              <w:right w:val="single" w:color="DDD6FE" w:sz="4"/>
            </w:tcBorders>
            <w:shd w:fill="F8F7FF" w:val="clear"/>
            <w:tcMar>
              <w:top w:type="dxa" w:w="70"/>
              <w:left w:type="dxa" w:w="120"/>
              <w:bottom w:type="dxa" w:w="70"/>
              <w:right w:type="dxa" w:w="120"/>
            </w:tcMar>
          </w:tcPr>
          <w:p>
            <w:r>
              <w:rPr>
                <w:rFonts w:ascii="Arial" w:cs="Arial" w:eastAsia="Arial" w:hAnsi="Arial"/>
                <w:b w:val="false"/>
                <w:bCs w:val="false"/>
                <w:color w:val="DC2626"/>
                <w:sz w:val="19"/>
                <w:szCs w:val="19"/>
              </w:rPr>
              <w:t xml:space="preserve">✗ Locked</w:t>
            </w:r>
          </w:p>
        </w:tc>
        <w:tc>
          <w:tcPr>
            <w:tcW w:type="dxa" w:w="2160"/>
            <w:tcBorders>
              <w:top w:val="single" w:color="DDD6FE" w:sz="4"/>
              <w:left w:val="single" w:color="DDD6FE" w:sz="4"/>
              <w:bottom w:val="single" w:color="DDD6FE" w:sz="4"/>
              <w:right w:val="single" w:color="DDD6FE" w:sz="4"/>
            </w:tcBorders>
            <w:shd w:fill="F8F7FF" w:val="clear"/>
            <w:tcMar>
              <w:top w:type="dxa" w:w="70"/>
              <w:left w:type="dxa" w:w="120"/>
              <w:bottom w:type="dxa" w:w="70"/>
              <w:right w:type="dxa" w:w="120"/>
            </w:tcMar>
          </w:tcPr>
          <w:p>
            <w:r>
              <w:rPr>
                <w:rFonts w:ascii="Arial" w:cs="Arial" w:eastAsia="Arial" w:hAnsi="Arial"/>
                <w:b w:val="false"/>
                <w:bCs w:val="false"/>
                <w:color w:val="065F46"/>
                <w:sz w:val="19"/>
                <w:szCs w:val="19"/>
              </w:rPr>
              <w:t xml:space="preserve">✓ Enabled</w:t>
            </w:r>
          </w:p>
        </w:tc>
        <w:tc>
          <w:tcPr>
            <w:tcW w:type="dxa" w:w="2160"/>
            <w:tcBorders>
              <w:top w:val="single" w:color="DDD6FE" w:sz="4"/>
              <w:left w:val="single" w:color="DDD6FE" w:sz="4"/>
              <w:bottom w:val="single" w:color="DDD6FE" w:sz="4"/>
              <w:right w:val="single" w:color="DDD6FE" w:sz="4"/>
            </w:tcBorders>
            <w:shd w:fill="F8F7FF" w:val="clear"/>
            <w:tcMar>
              <w:top w:type="dxa" w:w="70"/>
              <w:left w:type="dxa" w:w="120"/>
              <w:bottom w:type="dxa" w:w="70"/>
              <w:right w:type="dxa" w:w="120"/>
            </w:tcMar>
          </w:tcPr>
          <w:p>
            <w:r>
              <w:rPr>
                <w:rFonts w:ascii="Arial" w:cs="Arial" w:eastAsia="Arial" w:hAnsi="Arial"/>
                <w:b w:val="false"/>
                <w:bCs w:val="false"/>
                <w:color w:val="065F46"/>
                <w:sz w:val="19"/>
                <w:szCs w:val="19"/>
              </w:rPr>
              <w:t xml:space="preserve">✓ Enabled</w:t>
            </w:r>
          </w:p>
        </w:tc>
        <w:tc>
          <w:tcPr>
            <w:tcW w:type="dxa" w:w="1480"/>
            <w:tcBorders>
              <w:top w:val="single" w:color="DDD6FE" w:sz="4"/>
              <w:left w:val="single" w:color="DDD6FE" w:sz="4"/>
              <w:bottom w:val="single" w:color="DDD6FE" w:sz="4"/>
              <w:right w:val="single" w:color="DDD6FE" w:sz="4"/>
            </w:tcBorders>
            <w:shd w:fill="F8F7FF" w:val="clear"/>
            <w:tcMar>
              <w:top w:type="dxa" w:w="70"/>
              <w:left w:type="dxa" w:w="120"/>
              <w:bottom w:type="dxa" w:w="70"/>
              <w:right w:type="dxa" w:w="120"/>
            </w:tcMar>
          </w:tcPr>
          <w:p>
            <w:r>
              <w:rPr>
                <w:rFonts w:ascii="Arial" w:cs="Arial" w:eastAsia="Arial" w:hAnsi="Arial"/>
                <w:b w:val="false"/>
                <w:bCs w:val="false"/>
                <w:color w:val="1E1B2E"/>
                <w:sz w:val="19"/>
                <w:szCs w:val="19"/>
              </w:rPr>
              <w:t xml:space="preserve">Requires verification</w:t>
            </w:r>
          </w:p>
        </w:tc>
      </w:tr>
      <w:tr>
        <w:trPr>
          <w:tblHeader w:val="false"/>
        </w:trPr>
        <w:tc>
          <w:tcPr>
            <w:tcW w:type="dxa" w:w="2000"/>
            <w:tcBorders>
              <w:top w:val="single" w:color="DDD6FE" w:sz="4"/>
              <w:left w:val="single" w:color="DDD6FE" w:sz="4"/>
              <w:bottom w:val="single" w:color="DDD6FE" w:sz="4"/>
              <w:right w:val="single" w:color="DDD6FE" w:sz="4"/>
            </w:tcBorders>
            <w:shd w:fill="EDE9FE" w:val="clear"/>
            <w:tcMar>
              <w:top w:type="dxa" w:w="70"/>
              <w:left w:type="dxa" w:w="120"/>
              <w:bottom w:type="dxa" w:w="70"/>
              <w:right w:type="dxa" w:w="120"/>
            </w:tcMar>
          </w:tcPr>
          <w:p>
            <w:r>
              <w:rPr>
                <w:rFonts w:ascii="Arial" w:cs="Arial" w:eastAsia="Arial" w:hAnsi="Arial"/>
                <w:b/>
                <w:bCs/>
                <w:color w:val="1E1B2E"/>
                <w:sz w:val="19"/>
                <w:szCs w:val="19"/>
              </w:rPr>
              <w:t xml:space="preserve">QR Code Sharing</w:t>
            </w:r>
          </w:p>
        </w:tc>
        <w:tc>
          <w:tcPr>
            <w:tcW w:type="dxa" w:w="1560"/>
            <w:tcBorders>
              <w:top w:val="single" w:color="DDD6FE" w:sz="4"/>
              <w:left w:val="single" w:color="DDD6FE" w:sz="4"/>
              <w:bottom w:val="single" w:color="DDD6FE" w:sz="4"/>
              <w:right w:val="single" w:color="DDD6FE" w:sz="4"/>
            </w:tcBorders>
            <w:shd w:fill="FFFFFF" w:val="clear"/>
            <w:tcMar>
              <w:top w:type="dxa" w:w="70"/>
              <w:left w:type="dxa" w:w="120"/>
              <w:bottom w:type="dxa" w:w="70"/>
              <w:right w:type="dxa" w:w="120"/>
            </w:tcMar>
          </w:tcPr>
          <w:p>
            <w:r>
              <w:rPr>
                <w:rFonts w:ascii="Arial" w:cs="Arial" w:eastAsia="Arial" w:hAnsi="Arial"/>
                <w:b w:val="false"/>
                <w:bCs w:val="false"/>
                <w:color w:val="DC2626"/>
                <w:sz w:val="19"/>
                <w:szCs w:val="19"/>
              </w:rPr>
              <w:t xml:space="preserve">✗ Locked</w:t>
            </w:r>
          </w:p>
        </w:tc>
        <w:tc>
          <w:tcPr>
            <w:tcW w:type="dxa" w:w="2160"/>
            <w:tcBorders>
              <w:top w:val="single" w:color="DDD6FE" w:sz="4"/>
              <w:left w:val="single" w:color="DDD6FE" w:sz="4"/>
              <w:bottom w:val="single" w:color="DDD6FE" w:sz="4"/>
              <w:right w:val="single" w:color="DDD6FE" w:sz="4"/>
            </w:tcBorders>
            <w:shd w:fill="FFFFFF" w:val="clear"/>
            <w:tcMar>
              <w:top w:type="dxa" w:w="70"/>
              <w:left w:type="dxa" w:w="120"/>
              <w:bottom w:type="dxa" w:w="70"/>
              <w:right w:type="dxa" w:w="120"/>
            </w:tcMar>
          </w:tcPr>
          <w:p>
            <w:r>
              <w:rPr>
                <w:rFonts w:ascii="Arial" w:cs="Arial" w:eastAsia="Arial" w:hAnsi="Arial"/>
                <w:b w:val="false"/>
                <w:bCs w:val="false"/>
                <w:color w:val="065F46"/>
                <w:sz w:val="19"/>
                <w:szCs w:val="19"/>
              </w:rPr>
              <w:t xml:space="preserve">✓ Enabled</w:t>
            </w:r>
          </w:p>
        </w:tc>
        <w:tc>
          <w:tcPr>
            <w:tcW w:type="dxa" w:w="2160"/>
            <w:tcBorders>
              <w:top w:val="single" w:color="DDD6FE" w:sz="4"/>
              <w:left w:val="single" w:color="DDD6FE" w:sz="4"/>
              <w:bottom w:val="single" w:color="DDD6FE" w:sz="4"/>
              <w:right w:val="single" w:color="DDD6FE" w:sz="4"/>
            </w:tcBorders>
            <w:shd w:fill="FFFFFF" w:val="clear"/>
            <w:tcMar>
              <w:top w:type="dxa" w:w="70"/>
              <w:left w:type="dxa" w:w="120"/>
              <w:bottom w:type="dxa" w:w="70"/>
              <w:right w:type="dxa" w:w="120"/>
            </w:tcMar>
          </w:tcPr>
          <w:p>
            <w:r>
              <w:rPr>
                <w:rFonts w:ascii="Arial" w:cs="Arial" w:eastAsia="Arial" w:hAnsi="Arial"/>
                <w:b w:val="false"/>
                <w:bCs w:val="false"/>
                <w:color w:val="065F46"/>
                <w:sz w:val="19"/>
                <w:szCs w:val="19"/>
              </w:rPr>
              <w:t xml:space="preserve">✓ Enabled</w:t>
            </w:r>
          </w:p>
        </w:tc>
        <w:tc>
          <w:tcPr>
            <w:tcW w:type="dxa" w:w="1480"/>
            <w:tcBorders>
              <w:top w:val="single" w:color="DDD6FE" w:sz="4"/>
              <w:left w:val="single" w:color="DDD6FE" w:sz="4"/>
              <w:bottom w:val="single" w:color="DDD6FE" w:sz="4"/>
              <w:right w:val="single" w:color="DDD6FE" w:sz="4"/>
            </w:tcBorders>
            <w:shd w:fill="FFFFFF" w:val="clear"/>
            <w:tcMar>
              <w:top w:type="dxa" w:w="70"/>
              <w:left w:type="dxa" w:w="120"/>
              <w:bottom w:type="dxa" w:w="70"/>
              <w:right w:type="dxa" w:w="120"/>
            </w:tcMar>
          </w:tcPr>
          <w:p>
            <w:r>
              <w:rPr>
                <w:rFonts w:ascii="Arial" w:cs="Arial" w:eastAsia="Arial" w:hAnsi="Arial"/>
                <w:b w:val="false"/>
                <w:bCs w:val="false"/>
                <w:color w:val="1E1B2E"/>
                <w:sz w:val="19"/>
                <w:szCs w:val="19"/>
              </w:rPr>
              <w:t xml:space="preserve">Requires verification</w:t>
            </w:r>
          </w:p>
        </w:tc>
      </w:tr>
      <w:tr>
        <w:trPr>
          <w:tblHeader w:val="false"/>
        </w:trPr>
        <w:tc>
          <w:tcPr>
            <w:tcW w:type="dxa" w:w="2000"/>
            <w:tcBorders>
              <w:top w:val="single" w:color="DDD6FE" w:sz="4"/>
              <w:left w:val="single" w:color="DDD6FE" w:sz="4"/>
              <w:bottom w:val="single" w:color="DDD6FE" w:sz="4"/>
              <w:right w:val="single" w:color="DDD6FE" w:sz="4"/>
            </w:tcBorders>
            <w:shd w:fill="EDE9FE" w:val="clear"/>
            <w:tcMar>
              <w:top w:type="dxa" w:w="70"/>
              <w:left w:type="dxa" w:w="120"/>
              <w:bottom w:type="dxa" w:w="70"/>
              <w:right w:type="dxa" w:w="120"/>
            </w:tcMar>
          </w:tcPr>
          <w:p>
            <w:r>
              <w:rPr>
                <w:rFonts w:ascii="Arial" w:cs="Arial" w:eastAsia="Arial" w:hAnsi="Arial"/>
                <w:b/>
                <w:bCs/>
                <w:color w:val="1E1B2E"/>
                <w:sz w:val="19"/>
                <w:szCs w:val="19"/>
              </w:rPr>
              <w:t xml:space="preserve">PurpBot AI</w:t>
            </w:r>
          </w:p>
        </w:tc>
        <w:tc>
          <w:tcPr>
            <w:tcW w:type="dxa" w:w="1560"/>
            <w:tcBorders>
              <w:top w:val="single" w:color="DDD6FE" w:sz="4"/>
              <w:left w:val="single" w:color="DDD6FE" w:sz="4"/>
              <w:bottom w:val="single" w:color="DDD6FE" w:sz="4"/>
              <w:right w:val="single" w:color="DDD6FE" w:sz="4"/>
            </w:tcBorders>
            <w:shd w:fill="F8F7FF" w:val="clear"/>
            <w:tcMar>
              <w:top w:type="dxa" w:w="70"/>
              <w:left w:type="dxa" w:w="120"/>
              <w:bottom w:type="dxa" w:w="70"/>
              <w:right w:type="dxa" w:w="120"/>
            </w:tcMar>
          </w:tcPr>
          <w:p>
            <w:r>
              <w:rPr>
                <w:rFonts w:ascii="Arial" w:cs="Arial" w:eastAsia="Arial" w:hAnsi="Arial"/>
                <w:b w:val="false"/>
                <w:bCs w:val="false"/>
                <w:color w:val="065F46"/>
                <w:sz w:val="19"/>
                <w:szCs w:val="19"/>
              </w:rPr>
              <w:t xml:space="preserve">✓ Enabled</w:t>
            </w:r>
          </w:p>
        </w:tc>
        <w:tc>
          <w:tcPr>
            <w:tcW w:type="dxa" w:w="2160"/>
            <w:tcBorders>
              <w:top w:val="single" w:color="DDD6FE" w:sz="4"/>
              <w:left w:val="single" w:color="DDD6FE" w:sz="4"/>
              <w:bottom w:val="single" w:color="DDD6FE" w:sz="4"/>
              <w:right w:val="single" w:color="DDD6FE" w:sz="4"/>
            </w:tcBorders>
            <w:shd w:fill="F8F7FF" w:val="clear"/>
            <w:tcMar>
              <w:top w:type="dxa" w:w="70"/>
              <w:left w:type="dxa" w:w="120"/>
              <w:bottom w:type="dxa" w:w="70"/>
              <w:right w:type="dxa" w:w="120"/>
            </w:tcMar>
          </w:tcPr>
          <w:p>
            <w:r>
              <w:rPr>
                <w:rFonts w:ascii="Arial" w:cs="Arial" w:eastAsia="Arial" w:hAnsi="Arial"/>
                <w:b w:val="false"/>
                <w:bCs w:val="false"/>
                <w:color w:val="065F46"/>
                <w:sz w:val="19"/>
                <w:szCs w:val="19"/>
              </w:rPr>
              <w:t xml:space="preserve">✓ Enabled</w:t>
            </w:r>
          </w:p>
        </w:tc>
        <w:tc>
          <w:tcPr>
            <w:tcW w:type="dxa" w:w="2160"/>
            <w:tcBorders>
              <w:top w:val="single" w:color="DDD6FE" w:sz="4"/>
              <w:left w:val="single" w:color="DDD6FE" w:sz="4"/>
              <w:bottom w:val="single" w:color="DDD6FE" w:sz="4"/>
              <w:right w:val="single" w:color="DDD6FE" w:sz="4"/>
            </w:tcBorders>
            <w:shd w:fill="F8F7FF" w:val="clear"/>
            <w:tcMar>
              <w:top w:type="dxa" w:w="70"/>
              <w:left w:type="dxa" w:w="120"/>
              <w:bottom w:type="dxa" w:w="70"/>
              <w:right w:type="dxa" w:w="120"/>
            </w:tcMar>
          </w:tcPr>
          <w:p>
            <w:r>
              <w:rPr>
                <w:rFonts w:ascii="Arial" w:cs="Arial" w:eastAsia="Arial" w:hAnsi="Arial"/>
                <w:b w:val="false"/>
                <w:bCs w:val="false"/>
                <w:color w:val="065F46"/>
                <w:sz w:val="19"/>
                <w:szCs w:val="19"/>
              </w:rPr>
              <w:t xml:space="preserve">✓ Enabled</w:t>
            </w:r>
          </w:p>
        </w:tc>
        <w:tc>
          <w:tcPr>
            <w:tcW w:type="dxa" w:w="1480"/>
            <w:tcBorders>
              <w:top w:val="single" w:color="DDD6FE" w:sz="4"/>
              <w:left w:val="single" w:color="DDD6FE" w:sz="4"/>
              <w:bottom w:val="single" w:color="DDD6FE" w:sz="4"/>
              <w:right w:val="single" w:color="DDD6FE" w:sz="4"/>
            </w:tcBorders>
            <w:shd w:fill="F8F7FF" w:val="clear"/>
            <w:tcMar>
              <w:top w:type="dxa" w:w="70"/>
              <w:left w:type="dxa" w:w="120"/>
              <w:bottom w:type="dxa" w:w="70"/>
              <w:right w:type="dxa" w:w="120"/>
            </w:tcMar>
          </w:tcPr>
          <w:p>
            <w:r>
              <w:rPr>
                <w:rFonts w:ascii="Arial" w:cs="Arial" w:eastAsia="Arial" w:hAnsi="Arial"/>
                <w:b w:val="false"/>
                <w:bCs w:val="false"/>
                <w:color w:val="1E1B2E"/>
                <w:sz w:val="19"/>
                <w:szCs w:val="19"/>
              </w:rPr>
              <w:t xml:space="preserve">Read-only on all tiers</w:t>
            </w:r>
          </w:p>
        </w:tc>
      </w:tr>
      <w:tr>
        <w:trPr>
          <w:tblHeader w:val="false"/>
        </w:trPr>
        <w:tc>
          <w:tcPr>
            <w:tcW w:type="dxa" w:w="2000"/>
            <w:tcBorders>
              <w:top w:val="single" w:color="DDD6FE" w:sz="4"/>
              <w:left w:val="single" w:color="DDD6FE" w:sz="4"/>
              <w:bottom w:val="single" w:color="DDD6FE" w:sz="4"/>
              <w:right w:val="single" w:color="DDD6FE" w:sz="4"/>
            </w:tcBorders>
            <w:shd w:fill="EDE9FE" w:val="clear"/>
            <w:tcMar>
              <w:top w:type="dxa" w:w="70"/>
              <w:left w:type="dxa" w:w="120"/>
              <w:bottom w:type="dxa" w:w="70"/>
              <w:right w:type="dxa" w:w="120"/>
            </w:tcMar>
          </w:tcPr>
          <w:p>
            <w:r>
              <w:rPr>
                <w:rFonts w:ascii="Arial" w:cs="Arial" w:eastAsia="Arial" w:hAnsi="Arial"/>
                <w:b/>
                <w:bCs/>
                <w:color w:val="1E1B2E"/>
                <w:sz w:val="19"/>
                <w:szCs w:val="19"/>
              </w:rPr>
              <w:t xml:space="preserve">Monthly Limit</w:t>
            </w:r>
          </w:p>
        </w:tc>
        <w:tc>
          <w:tcPr>
            <w:tcW w:type="dxa" w:w="1560"/>
            <w:tcBorders>
              <w:top w:val="single" w:color="DDD6FE" w:sz="4"/>
              <w:left w:val="single" w:color="DDD6FE" w:sz="4"/>
              <w:bottom w:val="single" w:color="DDD6FE" w:sz="4"/>
              <w:right w:val="single" w:color="DDD6FE" w:sz="4"/>
            </w:tcBorders>
            <w:shd w:fill="FFFFFF" w:val="clear"/>
            <w:tcMar>
              <w:top w:type="dxa" w:w="70"/>
              <w:left w:type="dxa" w:w="120"/>
              <w:bottom w:type="dxa" w:w="70"/>
              <w:right w:type="dxa" w:w="120"/>
            </w:tcMar>
          </w:tcPr>
          <w:p>
            <w:r>
              <w:rPr>
                <w:rFonts w:ascii="Arial" w:cs="Arial" w:eastAsia="Arial" w:hAnsi="Arial"/>
                <w:b w:val="false"/>
                <w:bCs w:val="false"/>
                <w:color w:val="1E1B2E"/>
                <w:sz w:val="19"/>
                <w:szCs w:val="19"/>
              </w:rPr>
              <w:t xml:space="preserve">₦0 (Bookkeeping)</w:t>
            </w:r>
          </w:p>
        </w:tc>
        <w:tc>
          <w:tcPr>
            <w:tcW w:type="dxa" w:w="2160"/>
            <w:tcBorders>
              <w:top w:val="single" w:color="DDD6FE" w:sz="4"/>
              <w:left w:val="single" w:color="DDD6FE" w:sz="4"/>
              <w:bottom w:val="single" w:color="DDD6FE" w:sz="4"/>
              <w:right w:val="single" w:color="DDD6FE" w:sz="4"/>
            </w:tcBorders>
            <w:shd w:fill="FFFFFF" w:val="clear"/>
            <w:tcMar>
              <w:top w:type="dxa" w:w="70"/>
              <w:left w:type="dxa" w:w="120"/>
              <w:bottom w:type="dxa" w:w="70"/>
              <w:right w:type="dxa" w:w="120"/>
            </w:tcMar>
          </w:tcPr>
          <w:p>
            <w:r>
              <w:rPr>
                <w:rFonts w:ascii="Arial" w:cs="Arial" w:eastAsia="Arial" w:hAnsi="Arial"/>
                <w:b w:val="false"/>
                <w:bCs w:val="false"/>
                <w:color w:val="1E1B2E"/>
                <w:sz w:val="19"/>
                <w:szCs w:val="19"/>
              </w:rPr>
              <w:t xml:space="preserve">₦500,000</w:t>
            </w:r>
          </w:p>
        </w:tc>
        <w:tc>
          <w:tcPr>
            <w:tcW w:type="dxa" w:w="2160"/>
            <w:tcBorders>
              <w:top w:val="single" w:color="DDD6FE" w:sz="4"/>
              <w:left w:val="single" w:color="DDD6FE" w:sz="4"/>
              <w:bottom w:val="single" w:color="DDD6FE" w:sz="4"/>
              <w:right w:val="single" w:color="DDD6FE" w:sz="4"/>
            </w:tcBorders>
            <w:shd w:fill="FFFFFF" w:val="clear"/>
            <w:tcMar>
              <w:top w:type="dxa" w:w="70"/>
              <w:left w:type="dxa" w:w="120"/>
              <w:bottom w:type="dxa" w:w="70"/>
              <w:right w:type="dxa" w:w="120"/>
            </w:tcMar>
          </w:tcPr>
          <w:p>
            <w:r>
              <w:rPr>
                <w:rFonts w:ascii="Arial" w:cs="Arial" w:eastAsia="Arial" w:hAnsi="Arial"/>
                <w:b w:val="false"/>
                <w:bCs w:val="false"/>
                <w:color w:val="1E1B2E"/>
                <w:sz w:val="19"/>
                <w:szCs w:val="19"/>
              </w:rPr>
              <w:t xml:space="preserve">Unlimited</w:t>
            </w:r>
          </w:p>
        </w:tc>
        <w:tc>
          <w:tcPr>
            <w:tcW w:type="dxa" w:w="1480"/>
            <w:tcBorders>
              <w:top w:val="single" w:color="DDD6FE" w:sz="4"/>
              <w:left w:val="single" w:color="DDD6FE" w:sz="4"/>
              <w:bottom w:val="single" w:color="DDD6FE" w:sz="4"/>
              <w:right w:val="single" w:color="DDD6FE" w:sz="4"/>
            </w:tcBorders>
            <w:shd w:fill="FFFFFF" w:val="clear"/>
            <w:tcMar>
              <w:top w:type="dxa" w:w="70"/>
              <w:left w:type="dxa" w:w="120"/>
              <w:bottom w:type="dxa" w:w="70"/>
              <w:right w:type="dxa" w:w="120"/>
            </w:tcMar>
          </w:tcPr>
          <w:p>
            <w:r>
              <w:rPr>
                <w:rFonts w:ascii="Arial" w:cs="Arial" w:eastAsia="Arial" w:hAnsi="Arial"/>
                <w:b w:val="false"/>
                <w:bCs w:val="false"/>
                <w:color w:val="1E1B2E"/>
                <w:sz w:val="19"/>
                <w:szCs w:val="19"/>
              </w:rPr>
              <w:t xml:space="preserve">Admin-configurable parameter</w:t>
            </w:r>
          </w:p>
        </w:tc>
      </w:tr>
      <w:tr>
        <w:trPr>
          <w:tblHeader w:val="false"/>
        </w:trPr>
        <w:tc>
          <w:tcPr>
            <w:tcW w:type="dxa" w:w="2000"/>
            <w:tcBorders>
              <w:top w:val="single" w:color="DDD6FE" w:sz="4"/>
              <w:left w:val="single" w:color="DDD6FE" w:sz="4"/>
              <w:bottom w:val="single" w:color="DDD6FE" w:sz="4"/>
              <w:right w:val="single" w:color="DDD6FE" w:sz="4"/>
            </w:tcBorders>
            <w:shd w:fill="EDE9FE" w:val="clear"/>
            <w:tcMar>
              <w:top w:type="dxa" w:w="70"/>
              <w:left w:type="dxa" w:w="120"/>
              <w:bottom w:type="dxa" w:w="70"/>
              <w:right w:type="dxa" w:w="120"/>
            </w:tcMar>
          </w:tcPr>
          <w:p>
            <w:r>
              <w:rPr>
                <w:rFonts w:ascii="Arial" w:cs="Arial" w:eastAsia="Arial" w:hAnsi="Arial"/>
                <w:b/>
                <w:bCs/>
                <w:color w:val="1E1B2E"/>
                <w:sz w:val="19"/>
                <w:szCs w:val="19"/>
              </w:rPr>
              <w:t xml:space="preserve">KYC Complexity</w:t>
            </w:r>
          </w:p>
        </w:tc>
        <w:tc>
          <w:tcPr>
            <w:tcW w:type="dxa" w:w="1560"/>
            <w:tcBorders>
              <w:top w:val="single" w:color="DDD6FE" w:sz="4"/>
              <w:left w:val="single" w:color="DDD6FE" w:sz="4"/>
              <w:bottom w:val="single" w:color="DDD6FE" w:sz="4"/>
              <w:right w:val="single" w:color="DDD6FE" w:sz="4"/>
            </w:tcBorders>
            <w:shd w:fill="F8F7FF" w:val="clear"/>
            <w:tcMar>
              <w:top w:type="dxa" w:w="70"/>
              <w:left w:type="dxa" w:w="120"/>
              <w:bottom w:type="dxa" w:w="70"/>
              <w:right w:type="dxa" w:w="120"/>
            </w:tcMar>
          </w:tcPr>
          <w:p>
            <w:r>
              <w:rPr>
                <w:rFonts w:ascii="Arial" w:cs="Arial" w:eastAsia="Arial" w:hAnsi="Arial"/>
                <w:b w:val="false"/>
                <w:bCs w:val="false"/>
                <w:color w:val="1E1B2E"/>
                <w:sz w:val="19"/>
                <w:szCs w:val="19"/>
              </w:rPr>
              <w:t xml:space="preserve">None</w:t>
            </w:r>
          </w:p>
        </w:tc>
        <w:tc>
          <w:tcPr>
            <w:tcW w:type="dxa" w:w="2160"/>
            <w:tcBorders>
              <w:top w:val="single" w:color="DDD6FE" w:sz="4"/>
              <w:left w:val="single" w:color="DDD6FE" w:sz="4"/>
              <w:bottom w:val="single" w:color="DDD6FE" w:sz="4"/>
              <w:right w:val="single" w:color="DDD6FE" w:sz="4"/>
            </w:tcBorders>
            <w:shd w:fill="F8F7FF" w:val="clear"/>
            <w:tcMar>
              <w:top w:type="dxa" w:w="70"/>
              <w:left w:type="dxa" w:w="120"/>
              <w:bottom w:type="dxa" w:w="70"/>
              <w:right w:type="dxa" w:w="120"/>
            </w:tcMar>
          </w:tcPr>
          <w:p>
            <w:r>
              <w:rPr>
                <w:rFonts w:ascii="Arial" w:cs="Arial" w:eastAsia="Arial" w:hAnsi="Arial"/>
                <w:b w:val="false"/>
                <w:bCs w:val="false"/>
                <w:color w:val="1E1B2E"/>
                <w:sz w:val="19"/>
                <w:szCs w:val="19"/>
              </w:rPr>
              <w:t xml:space="preserve">Low (Auto-validation)</w:t>
            </w:r>
          </w:p>
        </w:tc>
        <w:tc>
          <w:tcPr>
            <w:tcW w:type="dxa" w:w="2160"/>
            <w:tcBorders>
              <w:top w:val="single" w:color="DDD6FE" w:sz="4"/>
              <w:left w:val="single" w:color="DDD6FE" w:sz="4"/>
              <w:bottom w:val="single" w:color="DDD6FE" w:sz="4"/>
              <w:right w:val="single" w:color="DDD6FE" w:sz="4"/>
            </w:tcBorders>
            <w:shd w:fill="F8F7FF" w:val="clear"/>
            <w:tcMar>
              <w:top w:type="dxa" w:w="70"/>
              <w:left w:type="dxa" w:w="120"/>
              <w:bottom w:type="dxa" w:w="70"/>
              <w:right w:type="dxa" w:w="120"/>
            </w:tcMar>
          </w:tcPr>
          <w:p>
            <w:r>
              <w:rPr>
                <w:rFonts w:ascii="Arial" w:cs="Arial" w:eastAsia="Arial" w:hAnsi="Arial"/>
                <w:b w:val="false"/>
                <w:bCs w:val="false"/>
                <w:color w:val="1E1B2E"/>
                <w:sz w:val="19"/>
                <w:szCs w:val="19"/>
              </w:rPr>
              <w:t xml:space="preserve">High (Manual / API Review)</w:t>
            </w:r>
          </w:p>
        </w:tc>
        <w:tc>
          <w:tcPr>
            <w:tcW w:type="dxa" w:w="1480"/>
            <w:tcBorders>
              <w:top w:val="single" w:color="DDD6FE" w:sz="4"/>
              <w:left w:val="single" w:color="DDD6FE" w:sz="4"/>
              <w:bottom w:val="single" w:color="DDD6FE" w:sz="4"/>
              <w:right w:val="single" w:color="DDD6FE" w:sz="4"/>
            </w:tcBorders>
            <w:shd w:fill="F8F7FF" w:val="clear"/>
            <w:tcMar>
              <w:top w:type="dxa" w:w="70"/>
              <w:left w:type="dxa" w:w="120"/>
              <w:bottom w:type="dxa" w:w="70"/>
              <w:right w:type="dxa" w:w="120"/>
            </w:tcMar>
          </w:tcPr>
          <w:p>
            <w:r>
              <w:rPr>
                <w:rFonts w:ascii="Arial" w:cs="Arial" w:eastAsia="Arial" w:hAnsi="Arial"/>
                <w:b w:val="false"/>
                <w:bCs w:val="false"/>
                <w:color w:val="1E1B2E"/>
                <w:sz w:val="19"/>
                <w:szCs w:val="19"/>
              </w:rPr>
              <w:t xml:space="preserve"/>
            </w:r>
          </w:p>
        </w:tc>
      </w:tr>
      <w:tr>
        <w:trPr>
          <w:tblHeader w:val="false"/>
        </w:trPr>
        <w:tc>
          <w:tcPr>
            <w:tcW w:type="dxa" w:w="2000"/>
            <w:tcBorders>
              <w:top w:val="single" w:color="DDD6FE" w:sz="4"/>
              <w:left w:val="single" w:color="DDD6FE" w:sz="4"/>
              <w:bottom w:val="single" w:color="DDD6FE" w:sz="4"/>
              <w:right w:val="single" w:color="DDD6FE" w:sz="4"/>
            </w:tcBorders>
            <w:shd w:fill="EDE9FE" w:val="clear"/>
            <w:tcMar>
              <w:top w:type="dxa" w:w="70"/>
              <w:left w:type="dxa" w:w="120"/>
              <w:bottom w:type="dxa" w:w="70"/>
              <w:right w:type="dxa" w:w="120"/>
            </w:tcMar>
          </w:tcPr>
          <w:p>
            <w:r>
              <w:rPr>
                <w:rFonts w:ascii="Arial" w:cs="Arial" w:eastAsia="Arial" w:hAnsi="Arial"/>
                <w:b/>
                <w:bCs/>
                <w:color w:val="1E1B2E"/>
                <w:sz w:val="19"/>
                <w:szCs w:val="19"/>
              </w:rPr>
              <w:t xml:space="preserve">Approval Time</w:t>
            </w:r>
          </w:p>
        </w:tc>
        <w:tc>
          <w:tcPr>
            <w:tcW w:type="dxa" w:w="1560"/>
            <w:tcBorders>
              <w:top w:val="single" w:color="DDD6FE" w:sz="4"/>
              <w:left w:val="single" w:color="DDD6FE" w:sz="4"/>
              <w:bottom w:val="single" w:color="DDD6FE" w:sz="4"/>
              <w:right w:val="single" w:color="DDD6FE" w:sz="4"/>
            </w:tcBorders>
            <w:shd w:fill="FFFFFF" w:val="clear"/>
            <w:tcMar>
              <w:top w:type="dxa" w:w="70"/>
              <w:left w:type="dxa" w:w="120"/>
              <w:bottom w:type="dxa" w:w="70"/>
              <w:right w:type="dxa" w:w="120"/>
            </w:tcMar>
          </w:tcPr>
          <w:p>
            <w:r>
              <w:rPr>
                <w:rFonts w:ascii="Arial" w:cs="Arial" w:eastAsia="Arial" w:hAnsi="Arial"/>
                <w:b w:val="false"/>
                <w:bCs w:val="false"/>
                <w:color w:val="1E1B2E"/>
                <w:sz w:val="19"/>
                <w:szCs w:val="19"/>
              </w:rPr>
              <w:t xml:space="preserve">Instant</w:t>
            </w:r>
          </w:p>
        </w:tc>
        <w:tc>
          <w:tcPr>
            <w:tcW w:type="dxa" w:w="2160"/>
            <w:tcBorders>
              <w:top w:val="single" w:color="DDD6FE" w:sz="4"/>
              <w:left w:val="single" w:color="DDD6FE" w:sz="4"/>
              <w:bottom w:val="single" w:color="DDD6FE" w:sz="4"/>
              <w:right w:val="single" w:color="DDD6FE" w:sz="4"/>
            </w:tcBorders>
            <w:shd w:fill="FFFFFF" w:val="clear"/>
            <w:tcMar>
              <w:top w:type="dxa" w:w="70"/>
              <w:left w:type="dxa" w:w="120"/>
              <w:bottom w:type="dxa" w:w="70"/>
              <w:right w:type="dxa" w:w="120"/>
            </w:tcMar>
          </w:tcPr>
          <w:p>
            <w:r>
              <w:rPr>
                <w:rFonts w:ascii="Arial" w:cs="Arial" w:eastAsia="Arial" w:hAnsi="Arial"/>
                <w:b w:val="false"/>
                <w:bCs w:val="false"/>
                <w:color w:val="1E1B2E"/>
                <w:sz w:val="19"/>
                <w:szCs w:val="19"/>
              </w:rPr>
              <w:t xml:space="preserve">Near-instant (API)</w:t>
            </w:r>
          </w:p>
        </w:tc>
        <w:tc>
          <w:tcPr>
            <w:tcW w:type="dxa" w:w="2160"/>
            <w:tcBorders>
              <w:top w:val="single" w:color="DDD6FE" w:sz="4"/>
              <w:left w:val="single" w:color="DDD6FE" w:sz="4"/>
              <w:bottom w:val="single" w:color="DDD6FE" w:sz="4"/>
              <w:right w:val="single" w:color="DDD6FE" w:sz="4"/>
            </w:tcBorders>
            <w:shd w:fill="FFFFFF" w:val="clear"/>
            <w:tcMar>
              <w:top w:type="dxa" w:w="70"/>
              <w:left w:type="dxa" w:w="120"/>
              <w:bottom w:type="dxa" w:w="70"/>
              <w:right w:type="dxa" w:w="120"/>
            </w:tcMar>
          </w:tcPr>
          <w:p>
            <w:r>
              <w:rPr>
                <w:rFonts w:ascii="Arial" w:cs="Arial" w:eastAsia="Arial" w:hAnsi="Arial"/>
                <w:b w:val="false"/>
                <w:bCs w:val="false"/>
                <w:color w:val="1E1B2E"/>
                <w:sz w:val="19"/>
                <w:szCs w:val="19"/>
              </w:rPr>
              <w:t xml:space="preserve">Up to 24 hours (human review)</w:t>
            </w:r>
          </w:p>
        </w:tc>
        <w:tc>
          <w:tcPr>
            <w:tcW w:type="dxa" w:w="1480"/>
            <w:tcBorders>
              <w:top w:val="single" w:color="DDD6FE" w:sz="4"/>
              <w:left w:val="single" w:color="DDD6FE" w:sz="4"/>
              <w:bottom w:val="single" w:color="DDD6FE" w:sz="4"/>
              <w:right w:val="single" w:color="DDD6FE" w:sz="4"/>
            </w:tcBorders>
            <w:shd w:fill="FFFFFF" w:val="clear"/>
            <w:tcMar>
              <w:top w:type="dxa" w:w="70"/>
              <w:left w:type="dxa" w:w="120"/>
              <w:bottom w:type="dxa" w:w="70"/>
              <w:right w:type="dxa" w:w="120"/>
            </w:tcMar>
          </w:tcPr>
          <w:p>
            <w:r>
              <w:rPr>
                <w:rFonts w:ascii="Arial" w:cs="Arial" w:eastAsia="Arial" w:hAnsi="Arial"/>
                <w:b w:val="false"/>
                <w:bCs w:val="false"/>
                <w:color w:val="1E1B2E"/>
                <w:sz w:val="19"/>
                <w:szCs w:val="19"/>
              </w:rPr>
              <w:t xml:space="preserve"/>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FBE" w:sz="4"/>
              <w:left w:val="single" w:color="7B2FBE" w:sz="4"/>
              <w:bottom w:val="single" w:color="7B2FBE" w:sz="4"/>
              <w:right w:val="single" w:color="7B2FBE" w:sz="4"/>
            </w:tcBorders>
            <w:shd w:fill="EDE9FE" w:val="clear"/>
            <w:tcMar>
              <w:top w:type="dxa" w:w="120"/>
              <w:left w:type="dxa" w:w="240"/>
              <w:bottom w:type="dxa" w:w="120"/>
              <w:right w:type="dxa" w:w="240"/>
            </w:tcMar>
          </w:tcPr>
          <w:p>
            <w:pPr>
              <w:spacing w:after="80" w:before="40"/>
            </w:pPr>
            <w:r>
              <w:rPr>
                <w:rFonts w:ascii="Arial" w:cs="Arial" w:eastAsia="Arial" w:hAnsi="Arial"/>
                <w:b/>
                <w:bCs/>
                <w:color w:val="4C1D95"/>
                <w:sz w:val="22"/>
                <w:szCs w:val="22"/>
              </w:rPr>
              <w:t xml:space="preserve">Important: Monthly Limit is Admin-Configurable</w:t>
            </w:r>
          </w:p>
          <w:p>
            <w:pPr>
              <w:spacing w:after="40" w:before="40"/>
            </w:pPr>
            <w:r>
              <w:rPr>
                <w:rFonts w:ascii="Arial" w:cs="Arial" w:eastAsia="Arial" w:hAnsi="Arial"/>
                <w:color w:val="1E1B2E"/>
                <w:sz w:val="21"/>
                <w:szCs w:val="21"/>
              </w:rPr>
              <w:t xml:space="preserve">The ₦500,000 Tier 1 monthly collection limit must NOT be hardcoded. It must be stored in a platform_settings table as a configurable key-value pair. The SuperAdmin can adjust limits for all tiers without a code deployment. This allows the business to respond to market conditions and regulatory changes dynamically.</w:t>
            </w:r>
          </w:p>
        </w:tc>
      </w:tr>
    </w:tbl>
    <w:p>
      <w:pPr>
        <w:spacing w:after="80" w:before="80"/>
      </w:pPr>
      <w:r>
        <w:t xml:space="preserve"/>
      </w:r>
    </w:p>
    <w:p>
      <w:pPr>
        <w:pStyle w:val="Heading2"/>
        <w:spacing w:after="120" w:before="320"/>
      </w:pPr>
      <w:r>
        <w:rPr>
          <w:rFonts w:ascii="Arial" w:cs="Arial" w:eastAsia="Arial" w:hAnsi="Arial"/>
          <w:b/>
          <w:bCs/>
          <w:color w:val="7B2FBE"/>
          <w:sz w:val="28"/>
          <w:szCs w:val="28"/>
        </w:rPr>
        <w:t xml:space="preserve">12.3 Verification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6FE" w:sz="4"/>
              <w:left w:val="single" w:color="DDD6FE" w:sz="4"/>
              <w:bottom w:val="single" w:color="DDD6FE" w:sz="4"/>
              <w:right w:val="single" w:color="DDD6FE" w:sz="4"/>
            </w:tcBorders>
            <w:shd w:fill="2D1B6B" w:val="clear"/>
            <w:tcMar>
              <w:top w:type="dxa" w:w="80"/>
              <w:left w:type="dxa" w:w="150"/>
              <w:bottom w:type="dxa" w:w="80"/>
              <w:right w:type="dxa" w:w="150"/>
            </w:tcMar>
          </w:tcPr>
          <w:p>
            <w:r>
              <w:rPr>
                <w:rFonts w:ascii="Arial" w:cs="Arial" w:eastAsia="Arial" w:hAnsi="Arial"/>
                <w:b/>
                <w:bCs/>
                <w:color w:val="FFFFFF"/>
                <w:sz w:val="20"/>
                <w:szCs w:val="20"/>
              </w:rPr>
              <w:t xml:space="preserve">Status</w:t>
            </w:r>
          </w:p>
        </w:tc>
        <w:tc>
          <w:tcPr>
            <w:tcW w:type="dxa" w:w="6960"/>
            <w:tcBorders>
              <w:top w:val="single" w:color="DDD6FE" w:sz="4"/>
              <w:left w:val="single" w:color="DDD6FE" w:sz="4"/>
              <w:bottom w:val="single" w:color="DDD6FE" w:sz="4"/>
              <w:right w:val="single" w:color="DDD6FE" w:sz="4"/>
            </w:tcBorders>
            <w:shd w:fill="7B2FBE" w:val="clear"/>
            <w:tcMar>
              <w:top w:type="dxa" w:w="80"/>
              <w:left w:type="dxa" w:w="150"/>
              <w:bottom w:type="dxa" w:w="80"/>
              <w:right w:type="dxa" w:w="150"/>
            </w:tcMar>
          </w:tcPr>
          <w:p>
            <w:r>
              <w:rPr>
                <w:rFonts w:ascii="Arial" w:cs="Arial" w:eastAsia="Arial" w:hAnsi="Arial"/>
                <w:color w:val="FFFFFF"/>
                <w:sz w:val="20"/>
                <w:szCs w:val="20"/>
              </w:rPr>
              <w:t xml:space="preserve">Definition &amp; Permitted Actions</w:t>
            </w:r>
          </w:p>
        </w:tc>
      </w:tr>
      <w:tr>
        <w:trPr>
          <w:tblHeader w:val="false"/>
        </w:trPr>
        <w:tc>
          <w:tcPr>
            <w:tcW w:type="dxa" w:w="24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b/>
                <w:bCs/>
                <w:color w:val="2D1B6B"/>
                <w:sz w:val="20"/>
                <w:szCs w:val="20"/>
              </w:rPr>
              <w:t xml:space="preserve">UNVERIFIED (Default)</w:t>
            </w:r>
          </w:p>
        </w:tc>
        <w:tc>
          <w:tcPr>
            <w:tcW w:type="dxa" w:w="69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color w:val="1E1B2E"/>
                <w:sz w:val="20"/>
                <w:szCs w:val="20"/>
              </w:rPr>
              <w:t xml:space="preserve">Merchant signed up but has not submitted identity documents. Can create, save, and internally view draft invoices. 'Share Link' and 'Download QR' buttons are disabled. Dashboard shows persistent upgrade banner.</w:t>
            </w:r>
          </w:p>
        </w:tc>
      </w:tr>
      <w:tr>
        <w:trPr>
          <w:tblHeader w:val="false"/>
        </w:trPr>
        <w:tc>
          <w:tcPr>
            <w:tcW w:type="dxa" w:w="2400"/>
            <w:tcBorders>
              <w:top w:val="single" w:color="DDD6FE" w:sz="4"/>
              <w:left w:val="single" w:color="DDD6FE" w:sz="4"/>
              <w:bottom w:val="single" w:color="DDD6FE" w:sz="4"/>
              <w:right w:val="single" w:color="DDD6FE" w:sz="4"/>
            </w:tcBorders>
            <w:shd w:fill="EDE9FE" w:val="clear"/>
            <w:tcMar>
              <w:top w:type="dxa" w:w="80"/>
              <w:left w:type="dxa" w:w="150"/>
              <w:bottom w:type="dxa" w:w="80"/>
              <w:right w:type="dxa" w:w="150"/>
            </w:tcMar>
          </w:tcPr>
          <w:p>
            <w:r>
              <w:rPr>
                <w:rFonts w:ascii="Arial" w:cs="Arial" w:eastAsia="Arial" w:hAnsi="Arial"/>
                <w:b/>
                <w:bCs/>
                <w:color w:val="2D1B6B"/>
                <w:sz w:val="20"/>
                <w:szCs w:val="20"/>
              </w:rPr>
              <w:t xml:space="preserve">PENDING</w:t>
            </w:r>
          </w:p>
        </w:tc>
        <w:tc>
          <w:tcPr>
            <w:tcW w:type="dxa" w:w="69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color w:val="1E1B2E"/>
                <w:sz w:val="20"/>
                <w:szCs w:val="20"/>
              </w:rPr>
              <w:t xml:space="preserve">Merchant has submitted documentation (BVN/NIN or CAC). All payment distribution features remain locked. Merchant sees a 'Verification in Progress' status badge.</w:t>
            </w:r>
          </w:p>
        </w:tc>
      </w:tr>
      <w:tr>
        <w:trPr>
          <w:tblHeader w:val="false"/>
        </w:trPr>
        <w:tc>
          <w:tcPr>
            <w:tcW w:type="dxa" w:w="24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b/>
                <w:bCs/>
                <w:color w:val="2D1B6B"/>
                <w:sz w:val="20"/>
                <w:szCs w:val="20"/>
              </w:rPr>
              <w:t xml:space="preserve">VERIFIED</w:t>
            </w:r>
          </w:p>
        </w:tc>
        <w:tc>
          <w:tcPr>
            <w:tcW w:type="dxa" w:w="69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color w:val="1E1B2E"/>
                <w:sz w:val="20"/>
                <w:szCs w:val="20"/>
              </w:rPr>
              <w:t xml:space="preserve">Identity confirmed. Paystack Subaccount is activated. Payment links, QR codes, and real payment collection are fully functional. Monthly limit applies based on tier.</w:t>
            </w:r>
          </w:p>
        </w:tc>
      </w:tr>
      <w:tr>
        <w:trPr>
          <w:tblHeader w:val="false"/>
        </w:trPr>
        <w:tc>
          <w:tcPr>
            <w:tcW w:type="dxa" w:w="2400"/>
            <w:tcBorders>
              <w:top w:val="single" w:color="DDD6FE" w:sz="4"/>
              <w:left w:val="single" w:color="DDD6FE" w:sz="4"/>
              <w:bottom w:val="single" w:color="DDD6FE" w:sz="4"/>
              <w:right w:val="single" w:color="DDD6FE" w:sz="4"/>
            </w:tcBorders>
            <w:shd w:fill="EDE9FE" w:val="clear"/>
            <w:tcMar>
              <w:top w:type="dxa" w:w="80"/>
              <w:left w:type="dxa" w:w="150"/>
              <w:bottom w:type="dxa" w:w="80"/>
              <w:right w:type="dxa" w:w="150"/>
            </w:tcMar>
          </w:tcPr>
          <w:p>
            <w:r>
              <w:rPr>
                <w:rFonts w:ascii="Arial" w:cs="Arial" w:eastAsia="Arial" w:hAnsi="Arial"/>
                <w:b/>
                <w:bCs/>
                <w:color w:val="2D1B6B"/>
                <w:sz w:val="20"/>
                <w:szCs w:val="20"/>
              </w:rPr>
              <w:t xml:space="preserve">REJECTED</w:t>
            </w:r>
          </w:p>
        </w:tc>
        <w:tc>
          <w:tcPr>
            <w:tcW w:type="dxa" w:w="69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color w:val="1E1B2E"/>
                <w:sz w:val="20"/>
                <w:szCs w:val="20"/>
              </w:rPr>
              <w:t xml:space="preserve">Documentation failed automated or human review. Admin has provided a reason code stored in kyc_notes. Merchant notified via email. Can re-submit after correction.</w:t>
            </w:r>
          </w:p>
        </w:tc>
      </w:tr>
      <w:tr>
        <w:trPr>
          <w:tblHeader w:val="false"/>
        </w:trPr>
        <w:tc>
          <w:tcPr>
            <w:tcW w:type="dxa" w:w="24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b/>
                <w:bCs/>
                <w:color w:val="2D1B6B"/>
                <w:sz w:val="20"/>
                <w:szCs w:val="20"/>
              </w:rPr>
              <w:t xml:space="preserve">SUSPENDED</w:t>
            </w:r>
          </w:p>
        </w:tc>
        <w:tc>
          <w:tcPr>
            <w:tcW w:type="dxa" w:w="69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color w:val="1E1B2E"/>
                <w:sz w:val="20"/>
                <w:szCs w:val="20"/>
              </w:rPr>
              <w:t xml:space="preserve">Platform-initiated. All existing public payment links immediately return 403 Forbidden. In-flight Paystack transactions (webhook pending) are allowed to complete but funds are held pending admin review. Merchant cannot create new payment links.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4"/>
              <w:left w:val="single" w:color="EF4444" w:sz="4"/>
              <w:bottom w:val="single" w:color="EF4444" w:sz="4"/>
              <w:right w:val="single" w:color="EF4444" w:sz="4"/>
            </w:tcBorders>
            <w:shd w:fill="FEF2F2" w:val="clear"/>
            <w:tcMar>
              <w:top w:type="dxa" w:w="120"/>
              <w:left w:type="dxa" w:w="240"/>
              <w:bottom w:type="dxa" w:w="120"/>
              <w:right w:type="dxa" w:w="240"/>
            </w:tcMar>
          </w:tcPr>
          <w:p>
            <w:pPr>
              <w:spacing w:after="80" w:before="40"/>
            </w:pPr>
            <w:r>
              <w:rPr>
                <w:rFonts w:ascii="Arial" w:cs="Arial" w:eastAsia="Arial" w:hAnsi="Arial"/>
                <w:b/>
                <w:bCs/>
                <w:color w:val="991B1B"/>
                <w:sz w:val="22"/>
                <w:szCs w:val="22"/>
              </w:rPr>
              <w:t xml:space="preserve">In-Flight Transaction Policy on Suspension</w:t>
            </w:r>
          </w:p>
          <w:p>
            <w:pPr>
              <w:spacing w:after="40" w:before="40"/>
            </w:pPr>
            <w:r>
              <w:rPr>
                <w:rFonts w:ascii="Arial" w:cs="Arial" w:eastAsia="Arial" w:hAnsi="Arial"/>
                <w:color w:val="1E1B2E"/>
                <w:sz w:val="21"/>
                <w:szCs w:val="21"/>
              </w:rPr>
              <w:t xml:space="preserve">When a merchant transitions to SUSPENDED status, any Paystack transaction where the customer has already been redirected to the checkout page is considered 'in-flight.' These transactions are permitted to complete via the Paystack webhook. However, on webhook receipt, the system will log the transaction but flag the associated invoice record with a holds_pending_review flag. The SuperAdmin is notified and must manually release or refund the held amount. This prevents both customer fraud (payment disappears) and merchant fraud (collecting while under investigation).</w:t>
            </w:r>
          </w:p>
        </w:tc>
      </w:tr>
    </w:tbl>
    <w:p>
      <w:pPr>
        <w:spacing w:after="80" w:before="80"/>
      </w:pPr>
      <w:r>
        <w:t xml:space="preserve"/>
      </w:r>
    </w:p>
    <w:p>
      <w:pPr>
        <w:pStyle w:val="Heading2"/>
        <w:spacing w:after="120" w:before="320"/>
      </w:pPr>
      <w:r>
        <w:rPr>
          <w:rFonts w:ascii="Arial" w:cs="Arial" w:eastAsia="Arial" w:hAnsi="Arial"/>
          <w:b/>
          <w:bCs/>
          <w:color w:val="7B2FBE"/>
          <w:sz w:val="28"/>
          <w:szCs w:val="28"/>
        </w:rPr>
        <w:t xml:space="preserve">12.4 Compliance-First UI Logic</w:t>
      </w:r>
    </w:p>
    <w:p>
      <w:pPr>
        <w:pStyle w:val="Heading3"/>
        <w:spacing w:after="80" w:before="240"/>
      </w:pPr>
      <w:r>
        <w:rPr>
          <w:rFonts w:ascii="Arial" w:cs="Arial" w:eastAsia="Arial" w:hAnsi="Arial"/>
          <w:b/>
          <w:bCs/>
          <w:color w:val="2D1B6B"/>
          <w:sz w:val="24"/>
          <w:szCs w:val="24"/>
        </w:rPr>
        <w:t xml:space="preserve">12.4.1 Dashboard Upgrade Banner</w:t>
      </w:r>
    </w:p>
    <w:p>
      <w:pPr>
        <w:spacing w:after="80" w:before="80"/>
      </w:pPr>
      <w:r>
        <w:rPr>
          <w:rFonts w:ascii="Arial" w:cs="Arial" w:eastAsia="Arial" w:hAnsi="Arial"/>
          <w:color w:val="1E1B2E"/>
          <w:sz w:val="22"/>
          <w:szCs w:val="22"/>
        </w:rPr>
        <w:t xml:space="preserve">For any merchant with verification_status = 'unverified' or 'pending', a persistent non-dismissible banner is rendered at the top of the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FBE" w:sz="4"/>
              <w:left w:val="single" w:color="7B2FBE" w:sz="4"/>
              <w:bottom w:val="single" w:color="7B2FBE" w:sz="4"/>
              <w:right w:val="single" w:color="7B2FBE" w:sz="4"/>
            </w:tcBorders>
            <w:shd w:fill="EDE9FE" w:val="clear"/>
            <w:tcMar>
              <w:top w:type="dxa" w:w="120"/>
              <w:left w:type="dxa" w:w="240"/>
              <w:bottom w:type="dxa" w:w="120"/>
              <w:right w:type="dxa" w:w="240"/>
            </w:tcMar>
          </w:tcPr>
          <w:p>
            <w:pPr>
              <w:spacing w:after="80" w:before="40"/>
            </w:pPr>
            <w:r>
              <w:rPr>
                <w:rFonts w:ascii="Arial" w:cs="Arial" w:eastAsia="Arial" w:hAnsi="Arial"/>
                <w:b/>
                <w:bCs/>
                <w:color w:val="4C1D95"/>
                <w:sz w:val="22"/>
                <w:szCs w:val="22"/>
              </w:rPr>
              <w:t xml:space="preserve">Banner Content (Tier 0 — Unverified)</w:t>
            </w:r>
          </w:p>
          <w:p>
            <w:pPr>
              <w:spacing w:after="60" w:before="40"/>
            </w:pPr>
            <w:r>
              <w:rPr>
                <w:rFonts w:ascii="Arial" w:cs="Arial" w:eastAsia="Arial" w:hAnsi="Arial"/>
                <w:color w:val="6B7280"/>
                <w:sz w:val="20"/>
                <w:szCs w:val="20"/>
              </w:rPr>
              <w:t xml:space="preserve">Background: purp-100 (#EDE9FE)  |  Border-left: 4px solid amethyst (#7B2FBE)</w:t>
            </w:r>
          </w:p>
          <w:p>
            <w:pPr>
              <w:spacing w:after="40" w:before="40"/>
            </w:pPr>
            <w:r>
              <w:rPr>
                <w:rFonts w:ascii="Arial" w:cs="Arial" w:eastAsia="Arial" w:hAnsi="Arial"/>
                <w:i/>
                <w:iCs/>
                <w:color w:val="2D1B6B"/>
                <w:sz w:val="21"/>
                <w:szCs w:val="21"/>
              </w:rPr>
              <w:t xml:space="preserve">"You are in Bookkeeping Mode. Your invoices are saved but payment links are disabled. Verify your identity to start accepting live payments via Paystack."</w:t>
            </w:r>
          </w:p>
          <w:p>
            <w:pPr>
              <w:spacing w:after="40" w:before="40"/>
            </w:pPr>
            <w:r>
              <w:rPr>
                <w:rFonts w:ascii="Arial" w:cs="Arial" w:eastAsia="Arial" w:hAnsi="Arial"/>
                <w:color w:val="6B7280"/>
                <w:sz w:val="20"/>
                <w:szCs w:val="20"/>
              </w:rPr>
              <w:t xml:space="preserve">CTA Button: 'Verify My Identity →'  (purp-900 background, white text, flat — no gradient)</w:t>
            </w:r>
          </w:p>
        </w:tc>
      </w:tr>
    </w:tbl>
    <w:p>
      <w:pPr>
        <w:spacing w:after="80" w:before="80"/>
      </w:pPr>
      <w:r>
        <w:t xml:space="preserve"/>
      </w:r>
    </w:p>
    <w:p>
      <w:pPr>
        <w:pStyle w:val="Heading3"/>
        <w:spacing w:after="80" w:before="240"/>
      </w:pPr>
      <w:r>
        <w:rPr>
          <w:rFonts w:ascii="Arial" w:cs="Arial" w:eastAsia="Arial" w:hAnsi="Arial"/>
          <w:b/>
          <w:bCs/>
          <w:color w:val="2D1B6B"/>
          <w:sz w:val="24"/>
          <w:szCs w:val="24"/>
        </w:rPr>
        <w:t xml:space="preserve">12.4.2 The 'Unlock Payment' Modal</w:t>
      </w:r>
    </w:p>
    <w:p>
      <w:pPr>
        <w:spacing w:after="80" w:before="80"/>
      </w:pPr>
      <w:r>
        <w:rPr>
          <w:rFonts w:ascii="Arial" w:cs="Arial" w:eastAsia="Arial" w:hAnsi="Arial"/>
          <w:color w:val="1E1B2E"/>
          <w:sz w:val="22"/>
          <w:szCs w:val="22"/>
        </w:rPr>
        <w:t xml:space="preserve">When an unverified merchant clicks 'Share Invoice' or 'Download QR,' a Shadcn/UI Dialog modal appears instead of executing the action:</w:t>
      </w:r>
    </w:p>
    <w:p>
      <w:pPr>
        <w:pStyle w:val="ListParagraph"/>
        <w:numPr>
          <w:ilvl w:val="0"/>
          <w:numId w:val="2"/>
        </w:numPr>
        <w:spacing w:after="60" w:before="60"/>
      </w:pPr>
      <w:r>
        <w:rPr>
          <w:rFonts w:ascii="Arial" w:cs="Arial" w:eastAsia="Arial" w:hAnsi="Arial"/>
          <w:color w:val="1E1B2E"/>
          <w:sz w:val="22"/>
          <w:szCs w:val="22"/>
        </w:rPr>
        <w:t xml:space="preserve">Modal Header: "Ready to get paid?"</w:t>
      </w:r>
    </w:p>
    <w:p>
      <w:pPr>
        <w:pStyle w:val="ListParagraph"/>
        <w:numPr>
          <w:ilvl w:val="0"/>
          <w:numId w:val="2"/>
        </w:numPr>
        <w:spacing w:after="60" w:before="60"/>
      </w:pPr>
      <w:r>
        <w:rPr>
          <w:rFonts w:ascii="Arial" w:cs="Arial" w:eastAsia="Arial" w:hAnsi="Arial"/>
          <w:color w:val="1E1B2E"/>
          <w:sz w:val="22"/>
          <w:szCs w:val="22"/>
        </w:rPr>
        <w:t xml:space="preserve">Body: Brief explanation that identity verification is required to activate Paystack collections.</w:t>
      </w:r>
    </w:p>
    <w:p>
      <w:pPr>
        <w:pStyle w:val="ListParagraph"/>
        <w:numPr>
          <w:ilvl w:val="0"/>
          <w:numId w:val="2"/>
        </w:numPr>
        <w:spacing w:after="60" w:before="60"/>
      </w:pPr>
      <w:r>
        <w:rPr>
          <w:rFonts w:ascii="Arial" w:cs="Arial" w:eastAsia="Arial" w:hAnsi="Arial"/>
          <w:color w:val="1E1B2E"/>
          <w:sz w:val="22"/>
          <w:szCs w:val="22"/>
        </w:rPr>
        <w:t xml:space="preserve">Option A — Individual: 'I am a Freelancer / Individual' → Submits NIN or BVN via a secure form. Near-instant API validation via SmileID or Verified.africa.</w:t>
      </w:r>
    </w:p>
    <w:p>
      <w:pPr>
        <w:pStyle w:val="ListParagraph"/>
        <w:numPr>
          <w:ilvl w:val="0"/>
          <w:numId w:val="2"/>
        </w:numPr>
        <w:spacing w:after="60" w:before="60"/>
      </w:pPr>
      <w:r>
        <w:rPr>
          <w:rFonts w:ascii="Arial" w:cs="Arial" w:eastAsia="Arial" w:hAnsi="Arial"/>
          <w:color w:val="1E1B2E"/>
          <w:sz w:val="22"/>
          <w:szCs w:val="22"/>
        </w:rPr>
        <w:t xml:space="preserve">Option B — Corporate: 'I am a Registered Business (CAC)' → Uploads CAC Certificate and Business Bank Account details. Subject to 24-hour human review by Admin.</w:t>
      </w:r>
    </w:p>
    <w:p>
      <w:pPr>
        <w:pStyle w:val="ListParagraph"/>
        <w:numPr>
          <w:ilvl w:val="0"/>
          <w:numId w:val="2"/>
        </w:numPr>
        <w:spacing w:after="60" w:before="60"/>
      </w:pPr>
      <w:r>
        <w:rPr>
          <w:rFonts w:ascii="Arial" w:cs="Arial" w:eastAsia="Arial" w:hAnsi="Arial"/>
          <w:color w:val="1E1B2E"/>
          <w:sz w:val="22"/>
          <w:szCs w:val="22"/>
        </w:rPr>
        <w:t xml:space="preserve">Footer note: 'Your existing draft invoices are safe and will be activated the moment verification is complete.'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4"/>
            </w:tcBorders>
            <w:shd w:fill="FFFBEB" w:val="clear"/>
            <w:tcMar>
              <w:top w:type="dxa" w:w="120"/>
              <w:left w:type="dxa" w:w="240"/>
              <w:bottom w:type="dxa" w:w="120"/>
              <w:right w:type="dxa" w:w="240"/>
            </w:tcMar>
          </w:tcPr>
          <w:p>
            <w:pPr>
              <w:spacing w:after="80" w:before="40"/>
            </w:pPr>
            <w:r>
              <w:rPr>
                <w:rFonts w:ascii="Arial" w:cs="Arial" w:eastAsia="Arial" w:hAnsi="Arial"/>
                <w:b/>
                <w:bCs/>
                <w:color w:val="92400E"/>
                <w:sz w:val="22"/>
                <w:szCs w:val="22"/>
              </w:rPr>
              <w:t xml:space="preserve">External Dependency: SmileID / Verified.africa</w:t>
            </w:r>
          </w:p>
          <w:p>
            <w:pPr>
              <w:spacing w:after="40" w:before="40"/>
            </w:pPr>
            <w:r>
              <w:rPr>
                <w:rFonts w:ascii="Arial" w:cs="Arial" w:eastAsia="Arial" w:hAnsi="Arial"/>
                <w:color w:val="1E1B2E"/>
                <w:sz w:val="21"/>
                <w:szCs w:val="21"/>
              </w:rPr>
              <w:t xml:space="preserve">The automated BVN/NIN validation in the Individual path requires a paid API contract with either SmileID or Verified.africa (both support Nigerian identity validation). This is a Sprint 1 vendor dependency. The vendor contract and API keys must be provisioned before Sprint 3 (Payment Portal) goes live. If no contract is in place by Sprint 3, the Individual path must fall back to a manual review queue identical to the Corporate path.</w:t>
            </w:r>
          </w:p>
        </w:tc>
      </w:tr>
    </w:tbl>
    <w:p>
      <w:pPr>
        <w:spacing w:after="80" w:before="80"/>
      </w:pPr>
      <w:r>
        <w:t xml:space="preserve"/>
      </w:r>
    </w:p>
    <w:p>
      <w:pPr>
        <w:pStyle w:val="Heading3"/>
        <w:spacing w:after="80" w:before="240"/>
      </w:pPr>
      <w:r>
        <w:rPr>
          <w:rFonts w:ascii="Arial" w:cs="Arial" w:eastAsia="Arial" w:hAnsi="Arial"/>
          <w:b/>
          <w:bCs/>
          <w:color w:val="2D1B6B"/>
          <w:sz w:val="24"/>
          <w:szCs w:val="24"/>
        </w:rPr>
        <w:t xml:space="preserve">12.4.3 PurpBot Verification-Aware Responses</w:t>
      </w:r>
    </w:p>
    <w:p>
      <w:pPr>
        <w:spacing w:after="80" w:before="80"/>
      </w:pPr>
      <w:r>
        <w:rPr>
          <w:rFonts w:ascii="Arial" w:cs="Arial" w:eastAsia="Arial" w:hAnsi="Arial"/>
          <w:color w:val="1E1B2E"/>
          <w:sz w:val="22"/>
          <w:szCs w:val="22"/>
        </w:rPr>
        <w:t xml:space="preserve">PurpBot's system prompt must include a conditional instruction that checks the merchant's verification_status before responding to questions about distributing invoices or collecting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FBE" w:sz="4"/>
              <w:left w:val="single" w:color="7B2FBE" w:sz="4"/>
              <w:bottom w:val="single" w:color="7B2FBE" w:sz="4"/>
              <w:right w:val="single" w:color="7B2FBE" w:sz="4"/>
            </w:tcBorders>
            <w:shd w:fill="EDE9FE" w:val="clear"/>
            <w:tcMar>
              <w:top w:type="dxa" w:w="120"/>
              <w:left w:type="dxa" w:w="240"/>
              <w:bottom w:type="dxa" w:w="120"/>
              <w:right w:type="dxa" w:w="240"/>
            </w:tcMar>
          </w:tcPr>
          <w:p>
            <w:pPr>
              <w:spacing w:after="80" w:before="40"/>
            </w:pPr>
            <w:r>
              <w:rPr>
                <w:rFonts w:ascii="Arial" w:cs="Arial" w:eastAsia="Arial" w:hAnsi="Arial"/>
                <w:b/>
                <w:bCs/>
                <w:color w:val="4C1D95"/>
                <w:sz w:val="22"/>
                <w:szCs w:val="22"/>
              </w:rPr>
              <w:t xml:space="preserve">PurpBot System Prompt Instruction (Pseudocode)</w:t>
            </w:r>
          </w:p>
          <w:p>
            <w:pPr>
              <w:spacing w:after="20" w:before="40"/>
            </w:pPr>
            <w:r>
              <w:rPr>
                <w:rFonts w:ascii="Courier New" w:cs="Courier New" w:eastAsia="Courier New" w:hAnsi="Courier New"/>
                <w:color w:val="C4B5FD"/>
                <w:sz w:val="20"/>
                <w:szCs w:val="20"/>
              </w:rPr>
              <w:t xml:space="preserve">IF merchant.verification_status != 'verified':</w:t>
            </w:r>
          </w:p>
          <w:p>
            <w:pPr>
              <w:spacing w:after="20" w:before="20"/>
            </w:pPr>
            <w:r>
              <w:rPr>
                <w:rFonts w:ascii="Courier New" w:cs="Courier New" w:eastAsia="Courier New" w:hAnsi="Courier New"/>
                <w:color w:val="C4B5FD"/>
                <w:sz w:val="20"/>
                <w:szCs w:val="20"/>
              </w:rPr>
              <w:t xml:space="preserve">  AND query_intent involves ['payment link', 'collect', 'cash flow', 'inflow', 'share invoice']:</w:t>
            </w:r>
          </w:p>
          <w:p>
            <w:pPr>
              <w:spacing w:after="20" w:before="20"/>
            </w:pPr>
            <w:r>
              <w:rPr>
                <w:rFonts w:ascii="Courier New" w:cs="Courier New" w:eastAsia="Courier New" w:hAnsi="Courier New"/>
                <w:color w:val="C4B5FD"/>
                <w:sz w:val="20"/>
                <w:szCs w:val="20"/>
              </w:rPr>
              <w:t xml:space="preserve">  APPEND to response:</w:t>
            </w:r>
          </w:p>
          <w:p>
            <w:pPr>
              <w:spacing w:after="0" w:before="20"/>
            </w:pPr>
            <w:r>
              <w:rPr>
                <w:rFonts w:ascii="Courier New" w:cs="Courier New" w:eastAsia="Courier New" w:hAnsi="Courier New"/>
                <w:color w:val="A3E635"/>
                <w:sz w:val="20"/>
                <w:szCs w:val="20"/>
              </w:rPr>
              <w:t xml:space="preserve">  "I can see you have [X] in outstanding invoices. To convert these into</w:t>
            </w:r>
          </w:p>
          <w:p>
            <w:pPr>
              <w:spacing w:after="0" w:before="0"/>
            </w:pPr>
            <w:r>
              <w:rPr>
                <w:rFonts w:ascii="Courier New" w:cs="Courier New" w:eastAsia="Courier New" w:hAnsi="Courier New"/>
                <w:color w:val="A3E635"/>
                <w:sz w:val="20"/>
                <w:szCs w:val="20"/>
              </w:rPr>
              <w:t xml:space="preserve">  actual cash inflows, please complete your Identity Verification in</w:t>
            </w:r>
          </w:p>
          <w:p>
            <w:pPr>
              <w:spacing w:after="40" w:before="0"/>
            </w:pPr>
            <w:r>
              <w:rPr>
                <w:rFonts w:ascii="Courier New" w:cs="Courier New" w:eastAsia="Courier New" w:hAnsi="Courier New"/>
                <w:color w:val="A3E635"/>
                <w:sz w:val="20"/>
                <w:szCs w:val="20"/>
              </w:rPr>
              <w:t xml:space="preserve">  Settings &gt; Verification. It takes under 2 minutes for individuals."</w:t>
            </w:r>
          </w:p>
        </w:tc>
      </w:tr>
    </w:tbl>
    <w:p>
      <w:pPr>
        <w:spacing w:after="80" w:before="80"/>
      </w:pPr>
      <w:r>
        <w:t xml:space="preserve"/>
      </w:r>
    </w:p>
    <w:p>
      <w:pPr>
        <w:pStyle w:val="Heading2"/>
        <w:spacing w:after="120" w:before="320"/>
      </w:pPr>
      <w:r>
        <w:rPr>
          <w:rFonts w:ascii="Arial" w:cs="Arial" w:eastAsia="Arial" w:hAnsi="Arial"/>
          <w:b/>
          <w:bCs/>
          <w:color w:val="7B2FBE"/>
          <w:sz w:val="28"/>
          <w:szCs w:val="28"/>
        </w:rPr>
        <w:t xml:space="preserve">12.5 Schema Extension (Addendum to PRD v1.0 Section 5.1)</w:t>
      </w:r>
    </w:p>
    <w:p>
      <w:pPr>
        <w:spacing w:after="80" w:before="80"/>
      </w:pPr>
      <w:r>
        <w:rPr>
          <w:rFonts w:ascii="Arial" w:cs="Arial" w:eastAsia="Arial" w:hAnsi="Arial"/>
          <w:color w:val="1E1B2E"/>
          <w:sz w:val="22"/>
          <w:szCs w:val="22"/>
        </w:rPr>
        <w:t xml:space="preserve">The following columns are added to the existing merchants table defined in PRD v1.0 Section 5.1: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FBE" w:sz="4"/>
              <w:left w:val="single" w:color="7B2FBE" w:sz="4"/>
              <w:bottom w:val="single" w:color="7B2FBE" w:sz="4"/>
              <w:right w:val="single" w:color="7B2FBE" w:sz="4"/>
            </w:tcBorders>
            <w:shd w:fill="1E1B2E" w:val="clear"/>
            <w:tcMar>
              <w:top w:type="dxa" w:w="160"/>
              <w:left w:type="dxa" w:w="240"/>
              <w:bottom w:type="dxa" w:w="160"/>
              <w:right w:type="dxa" w:w="240"/>
            </w:tcMar>
          </w:tcPr>
          <w:p>
            <w:r>
              <w:rPr>
                <w:rFonts w:ascii="Courier New" w:cs="Courier New" w:eastAsia="Courier New" w:hAnsi="Courier New"/>
                <w:color w:val="C4B5FD"/>
                <w:sz w:val="19"/>
                <w:szCs w:val="19"/>
              </w:rPr>
              <w:t xml:space="preserve">-- Schema Extension: Merchant Verification &amp; Tiered Access</w:t>
            </w:r>
          </w:p>
          <w:p>
            <w:r>
              <w:rPr>
                <w:rFonts w:ascii="Courier New" w:cs="Courier New" w:eastAsia="Courier New" w:hAnsi="Courier New"/>
                <w:color w:val="C4B5FD"/>
                <w:sz w:val="19"/>
                <w:szCs w:val="19"/>
              </w:rPr>
              <w:t xml:space="preserve">-- Addendum to PRD v1.0, Section 5.1 (merchants table)</w:t>
            </w:r>
          </w:p>
          <w:p>
            <w:r>
              <w:rPr>
                <w:rFonts w:ascii="Courier New" w:cs="Courier New" w:eastAsia="Courier New" w:hAnsi="Courier New"/>
                <w:color w:val="C4B5FD"/>
                <w:sz w:val="19"/>
                <w:szCs w:val="19"/>
              </w:rPr>
              <w:t xml:space="preserve"/>
            </w:r>
          </w:p>
          <w:p>
            <w:r>
              <w:rPr>
                <w:rFonts w:ascii="Courier New" w:cs="Courier New" w:eastAsia="Courier New" w:hAnsi="Courier New"/>
                <w:color w:val="C4B5FD"/>
                <w:sz w:val="19"/>
                <w:szCs w:val="19"/>
              </w:rPr>
              <w:t xml:space="preserve">ALTER TABLE merchants</w:t>
            </w:r>
          </w:p>
          <w:p>
            <w:r>
              <w:rPr>
                <w:rFonts w:ascii="Courier New" w:cs="Courier New" w:eastAsia="Courier New" w:hAnsi="Courier New"/>
                <w:color w:val="C4B5FD"/>
                <w:sz w:val="19"/>
                <w:szCs w:val="19"/>
              </w:rPr>
              <w:t xml:space="preserve">  ADD COLUMN merchant_tier TEXT NOT NULL DEFAULT 'starter',</w:t>
            </w:r>
          </w:p>
          <w:p>
            <w:r>
              <w:rPr>
                <w:rFonts w:ascii="Courier New" w:cs="Courier New" w:eastAsia="Courier New" w:hAnsi="Courier New"/>
                <w:color w:val="C4B5FD"/>
                <w:sz w:val="19"/>
                <w:szCs w:val="19"/>
              </w:rPr>
              <w:t xml:space="preserve">  --  Enum: 'starter' | 'individual' | 'corporate'</w:t>
            </w:r>
          </w:p>
          <w:p>
            <w:r>
              <w:rPr>
                <w:rFonts w:ascii="Courier New" w:cs="Courier New" w:eastAsia="Courier New" w:hAnsi="Courier New"/>
                <w:color w:val="C4B5FD"/>
                <w:sz w:val="19"/>
                <w:szCs w:val="19"/>
              </w:rPr>
              <w:t xml:space="preserve"/>
            </w:r>
          </w:p>
          <w:p>
            <w:r>
              <w:rPr>
                <w:rFonts w:ascii="Courier New" w:cs="Courier New" w:eastAsia="Courier New" w:hAnsi="Courier New"/>
                <w:color w:val="C4B5FD"/>
                <w:sz w:val="19"/>
                <w:szCs w:val="19"/>
              </w:rPr>
              <w:t xml:space="preserve">  ADD COLUMN kyc_submitted_at TIMESTAMPTZ,</w:t>
            </w:r>
          </w:p>
          <w:p>
            <w:r>
              <w:rPr>
                <w:rFonts w:ascii="Courier New" w:cs="Courier New" w:eastAsia="Courier New" w:hAnsi="Courier New"/>
                <w:color w:val="C4B5FD"/>
                <w:sz w:val="19"/>
                <w:szCs w:val="19"/>
              </w:rPr>
              <w:t xml:space="preserve">  --  Timestamp of most recent KYC document submission</w:t>
            </w:r>
          </w:p>
          <w:p>
            <w:r>
              <w:rPr>
                <w:rFonts w:ascii="Courier New" w:cs="Courier New" w:eastAsia="Courier New" w:hAnsi="Courier New"/>
                <w:color w:val="C4B5FD"/>
                <w:sz w:val="19"/>
                <w:szCs w:val="19"/>
              </w:rPr>
              <w:t xml:space="preserve"/>
            </w:r>
          </w:p>
          <w:p>
            <w:r>
              <w:rPr>
                <w:rFonts w:ascii="Courier New" w:cs="Courier New" w:eastAsia="Courier New" w:hAnsi="Courier New"/>
                <w:color w:val="C4B5FD"/>
                <w:sz w:val="19"/>
                <w:szCs w:val="19"/>
              </w:rPr>
              <w:t xml:space="preserve">  ADD COLUMN kyc_notes TEXT,</w:t>
            </w:r>
          </w:p>
          <w:p>
            <w:r>
              <w:rPr>
                <w:rFonts w:ascii="Courier New" w:cs="Courier New" w:eastAsia="Courier New" w:hAnsi="Courier New"/>
                <w:color w:val="C4B5FD"/>
                <w:sz w:val="19"/>
                <w:szCs w:val="19"/>
              </w:rPr>
              <w:t xml:space="preserve">  --  Admin-written reason for REJECTED status. Sent to merchant on rejection.</w:t>
            </w:r>
          </w:p>
          <w:p>
            <w:r>
              <w:rPr>
                <w:rFonts w:ascii="Courier New" w:cs="Courier New" w:eastAsia="Courier New" w:hAnsi="Courier New"/>
                <w:color w:val="C4B5FD"/>
                <w:sz w:val="19"/>
                <w:szCs w:val="19"/>
              </w:rPr>
              <w:t xml:space="preserve"/>
            </w:r>
          </w:p>
          <w:p>
            <w:r>
              <w:rPr>
                <w:rFonts w:ascii="Courier New" w:cs="Courier New" w:eastAsia="Courier New" w:hAnsi="Courier New"/>
                <w:color w:val="C4B5FD"/>
                <w:sz w:val="19"/>
                <w:szCs w:val="19"/>
              </w:rPr>
              <w:t xml:space="preserve">  ADD COLUMN monthly_collection_limit NUMERIC(12,2) NOT NULL DEFAULT 0,</w:t>
            </w:r>
          </w:p>
          <w:p>
            <w:r>
              <w:rPr>
                <w:rFonts w:ascii="Courier New" w:cs="Courier New" w:eastAsia="Courier New" w:hAnsi="Courier New"/>
                <w:color w:val="C4B5FD"/>
                <w:sz w:val="19"/>
                <w:szCs w:val="19"/>
              </w:rPr>
              <w:t xml:space="preserve">  --  CORRECTION: was 'daily_collection_limit' in source — FIXED to monthly.</w:t>
            </w:r>
          </w:p>
          <w:p>
            <w:r>
              <w:rPr>
                <w:rFonts w:ascii="Courier New" w:cs="Courier New" w:eastAsia="Courier New" w:hAnsi="Courier New"/>
                <w:color w:val="C4B5FD"/>
                <w:sz w:val="19"/>
                <w:szCs w:val="19"/>
              </w:rPr>
              <w:t xml:space="preserve">  --  ₦0 for Tier 0, ₦500,000 for Tier 1, NULL (no limit) for Tier 2.</w:t>
            </w:r>
          </w:p>
          <w:p>
            <w:r>
              <w:rPr>
                <w:rFonts w:ascii="Courier New" w:cs="Courier New" w:eastAsia="Courier New" w:hAnsi="Courier New"/>
                <w:color w:val="C4B5FD"/>
                <w:sz w:val="19"/>
                <w:szCs w:val="19"/>
              </w:rPr>
              <w:t xml:space="preserve">  --  Value sourced from platform_settings, not hardcoded.</w:t>
            </w:r>
          </w:p>
          <w:p>
            <w:r>
              <w:rPr>
                <w:rFonts w:ascii="Courier New" w:cs="Courier New" w:eastAsia="Courier New" w:hAnsi="Courier New"/>
                <w:color w:val="C4B5FD"/>
                <w:sz w:val="19"/>
                <w:szCs w:val="19"/>
              </w:rPr>
              <w:t xml:space="preserve"/>
            </w:r>
          </w:p>
          <w:p>
            <w:r>
              <w:rPr>
                <w:rFonts w:ascii="Courier New" w:cs="Courier New" w:eastAsia="Courier New" w:hAnsi="Courier New"/>
                <w:color w:val="C4B5FD"/>
                <w:sz w:val="19"/>
                <w:szCs w:val="19"/>
              </w:rPr>
              <w:t xml:space="preserve">  ADD COLUMN holds_pending_review BOOLEAN NOT NULL DEFAULT false;</w:t>
            </w:r>
          </w:p>
          <w:p>
            <w:r>
              <w:rPr>
                <w:rFonts w:ascii="Courier New" w:cs="Courier New" w:eastAsia="Courier New" w:hAnsi="Courier New"/>
                <w:color w:val="C4B5FD"/>
                <w:sz w:val="19"/>
                <w:szCs w:val="19"/>
              </w:rPr>
              <w:t xml:space="preserve">  --  ADDITION: Set to TRUE when merchant is SUSPENDED with in-flight txns.</w:t>
            </w:r>
          </w:p>
          <w:p>
            <w:r>
              <w:rPr>
                <w:rFonts w:ascii="Courier New" w:cs="Courier New" w:eastAsia="Courier New" w:hAnsi="Courier New"/>
                <w:color w:val="C4B5FD"/>
                <w:sz w:val="19"/>
                <w:szCs w:val="19"/>
              </w:rPr>
              <w:t xml:space="preserve"/>
            </w:r>
          </w:p>
          <w:p>
            <w:r>
              <w:rPr>
                <w:rFonts w:ascii="Courier New" w:cs="Courier New" w:eastAsia="Courier New" w:hAnsi="Courier New"/>
                <w:color w:val="C4B5FD"/>
                <w:sz w:val="19"/>
                <w:szCs w:val="19"/>
              </w:rPr>
              <w:t xml:space="preserve">-- Companion: Platform Settings table for admin-configurable limits</w:t>
            </w:r>
          </w:p>
          <w:p>
            <w:r>
              <w:rPr>
                <w:rFonts w:ascii="Courier New" w:cs="Courier New" w:eastAsia="Courier New" w:hAnsi="Courier New"/>
                <w:color w:val="C4B5FD"/>
                <w:sz w:val="19"/>
                <w:szCs w:val="19"/>
              </w:rPr>
              <w:t xml:space="preserve">CREATE TABLE platform_settings (</w:t>
            </w:r>
          </w:p>
          <w:p>
            <w:r>
              <w:rPr>
                <w:rFonts w:ascii="Courier New" w:cs="Courier New" w:eastAsia="Courier New" w:hAnsi="Courier New"/>
                <w:color w:val="C4B5FD"/>
                <w:sz w:val="19"/>
                <w:szCs w:val="19"/>
              </w:rPr>
              <w:t xml:space="preserve">  key TEXT PRIMARY KEY,  -- e.g., 'tier1_monthly_limit'</w:t>
            </w:r>
          </w:p>
          <w:p>
            <w:r>
              <w:rPr>
                <w:rFonts w:ascii="Courier New" w:cs="Courier New" w:eastAsia="Courier New" w:hAnsi="Courier New"/>
                <w:color w:val="C4B5FD"/>
                <w:sz w:val="19"/>
                <w:szCs w:val="19"/>
              </w:rPr>
              <w:t xml:space="preserve">  value TEXT NOT NULL,</w:t>
            </w:r>
          </w:p>
          <w:p>
            <w:r>
              <w:rPr>
                <w:rFonts w:ascii="Courier New" w:cs="Courier New" w:eastAsia="Courier New" w:hAnsi="Courier New"/>
                <w:color w:val="C4B5FD"/>
                <w:sz w:val="19"/>
                <w:szCs w:val="19"/>
              </w:rPr>
              <w:t xml:space="preserve">  updated_by UUID REFERENCES auth.users(id),</w:t>
            </w:r>
          </w:p>
          <w:p>
            <w:r>
              <w:rPr>
                <w:rFonts w:ascii="Courier New" w:cs="Courier New" w:eastAsia="Courier New" w:hAnsi="Courier New"/>
                <w:color w:val="C4B5FD"/>
                <w:sz w:val="19"/>
                <w:szCs w:val="19"/>
              </w:rPr>
              <w:t xml:space="preserve">  updated_at TIMESTAMPTZ DEFAULT now()</w:t>
            </w:r>
          </w:p>
          <w:p>
            <w:r>
              <w:rPr>
                <w:rFonts w:ascii="Courier New" w:cs="Courier New" w:eastAsia="Courier New" w:hAnsi="Courier New"/>
                <w:color w:val="C4B5FD"/>
                <w:sz w:val="19"/>
                <w:szCs w:val="19"/>
              </w:rPr>
              <w:t xml:space="preserve">);</w:t>
            </w:r>
          </w:p>
          <w:p>
            <w:r>
              <w:rPr>
                <w:rFonts w:ascii="Courier New" w:cs="Courier New" w:eastAsia="Courier New" w:hAnsi="Courier New"/>
                <w:color w:val="C4B5FD"/>
                <w:sz w:val="19"/>
                <w:szCs w:val="19"/>
              </w:rPr>
              <w:t xml:space="preserve"/>
            </w:r>
          </w:p>
          <w:p>
            <w:r>
              <w:rPr>
                <w:rFonts w:ascii="Courier New" w:cs="Courier New" w:eastAsia="Courier New" w:hAnsi="Courier New"/>
                <w:color w:val="C4B5FD"/>
                <w:sz w:val="19"/>
                <w:szCs w:val="19"/>
              </w:rPr>
              <w:t xml:space="preserve">-- Seed data</w:t>
            </w:r>
          </w:p>
          <w:p>
            <w:r>
              <w:rPr>
                <w:rFonts w:ascii="Courier New" w:cs="Courier New" w:eastAsia="Courier New" w:hAnsi="Courier New"/>
                <w:color w:val="C4B5FD"/>
                <w:sz w:val="19"/>
                <w:szCs w:val="19"/>
              </w:rPr>
              <w:t xml:space="preserve">INSERT INTO platform_settings (key, value)</w:t>
            </w:r>
          </w:p>
          <w:p>
            <w:r>
              <w:rPr>
                <w:rFonts w:ascii="Courier New" w:cs="Courier New" w:eastAsia="Courier New" w:hAnsi="Courier New"/>
                <w:color w:val="C4B5FD"/>
                <w:sz w:val="19"/>
                <w:szCs w:val="19"/>
              </w:rPr>
              <w:t xml:space="preserve">VALUES ('tier1_monthly_limit', '500000'),</w:t>
            </w:r>
          </w:p>
          <w:p>
            <w:r>
              <w:rPr>
                <w:rFonts w:ascii="Courier New" w:cs="Courier New" w:eastAsia="Courier New" w:hAnsi="Courier New"/>
                <w:color w:val="C4B5FD"/>
                <w:sz w:val="19"/>
                <w:szCs w:val="19"/>
              </w:rPr>
              <w:t xml:space="preserve">       ('tier2_monthly_limit', 'unlimited'),</w:t>
            </w:r>
          </w:p>
          <w:p>
            <w:r>
              <w:rPr>
                <w:rFonts w:ascii="Courier New" w:cs="Courier New" w:eastAsia="Courier New" w:hAnsi="Courier New"/>
                <w:color w:val="C4B5FD"/>
                <w:sz w:val="19"/>
                <w:szCs w:val="19"/>
              </w:rPr>
              <w:t xml:space="preserve">       ('auto_tier_up_threshold', '1000000'),</w:t>
            </w:r>
          </w:p>
          <w:p>
            <w:r>
              <w:rPr>
                <w:rFonts w:ascii="Courier New" w:cs="Courier New" w:eastAsia="Courier New" w:hAnsi="Courier New"/>
                <w:color w:val="C4B5FD"/>
                <w:sz w:val="19"/>
                <w:szCs w:val="19"/>
              </w:rPr>
              <w:t xml:space="preserve">       ('auto_tier_up_min_account_age_days', '60'),</w:t>
            </w:r>
          </w:p>
          <w:p>
            <w:r>
              <w:rPr>
                <w:rFonts w:ascii="Courier New" w:cs="Courier New" w:eastAsia="Courier New" w:hAnsi="Courier New"/>
                <w:color w:val="C4B5FD"/>
                <w:sz w:val="19"/>
                <w:szCs w:val="19"/>
              </w:rPr>
              <w:t xml:space="preserve">       ('auto_tier_up_chargeback_window_days', '90');</w:t>
            </w:r>
          </w:p>
        </w:tc>
      </w:tr>
    </w:tbl>
    <w:p>
      <w:pPr>
        <w:spacing w:after="80" w:before="80"/>
      </w:pPr>
      <w:r>
        <w:t xml:space="preserve"/>
      </w:r>
    </w:p>
    <w:p>
      <w:pPr>
        <w:pStyle w:val="Heading2"/>
        <w:spacing w:after="120" w:before="320"/>
      </w:pPr>
      <w:r>
        <w:rPr>
          <w:rFonts w:ascii="Arial" w:cs="Arial" w:eastAsia="Arial" w:hAnsi="Arial"/>
          <w:b/>
          <w:bCs/>
          <w:color w:val="7B2FBE"/>
          <w:sz w:val="28"/>
          <w:szCs w:val="28"/>
        </w:rPr>
        <w:t xml:space="preserve">12.6 Risk Mitigation (API-Level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6FE" w:sz="4"/>
              <w:left w:val="single" w:color="DDD6FE" w:sz="4"/>
              <w:bottom w:val="single" w:color="DDD6FE" w:sz="4"/>
              <w:right w:val="single" w:color="DDD6FE" w:sz="4"/>
            </w:tcBorders>
            <w:shd w:fill="2D1B6B" w:val="clear"/>
            <w:tcMar>
              <w:top w:type="dxa" w:w="80"/>
              <w:left w:type="dxa" w:w="150"/>
              <w:bottom w:type="dxa" w:w="80"/>
              <w:right w:type="dxa" w:w="150"/>
            </w:tcMar>
          </w:tcPr>
          <w:p>
            <w:r>
              <w:rPr>
                <w:rFonts w:ascii="Arial" w:cs="Arial" w:eastAsia="Arial" w:hAnsi="Arial"/>
                <w:b/>
                <w:bCs/>
                <w:color w:val="FFFFFF"/>
                <w:sz w:val="20"/>
                <w:szCs w:val="20"/>
              </w:rPr>
              <w:t xml:space="preserve">Risk</w:t>
            </w:r>
          </w:p>
        </w:tc>
        <w:tc>
          <w:tcPr>
            <w:tcW w:type="dxa" w:w="6360"/>
            <w:tcBorders>
              <w:top w:val="single" w:color="DDD6FE" w:sz="4"/>
              <w:left w:val="single" w:color="DDD6FE" w:sz="4"/>
              <w:bottom w:val="single" w:color="DDD6FE" w:sz="4"/>
              <w:right w:val="single" w:color="DDD6FE" w:sz="4"/>
            </w:tcBorders>
            <w:shd w:fill="7B2FBE" w:val="clear"/>
            <w:tcMar>
              <w:top w:type="dxa" w:w="80"/>
              <w:left w:type="dxa" w:w="150"/>
              <w:bottom w:type="dxa" w:w="80"/>
              <w:right w:type="dxa" w:w="150"/>
            </w:tcMar>
          </w:tcPr>
          <w:p>
            <w:r>
              <w:rPr>
                <w:rFonts w:ascii="Arial" w:cs="Arial" w:eastAsia="Arial" w:hAnsi="Arial"/>
                <w:color w:val="FFFFFF"/>
                <w:sz w:val="20"/>
                <w:szCs w:val="20"/>
              </w:rPr>
              <w:t xml:space="preserve">API Enforcement Rule</w:t>
            </w:r>
          </w:p>
        </w:tc>
      </w:tr>
      <w:tr>
        <w:trPr>
          <w:tblHeader w:val="false"/>
        </w:trPr>
        <w:tc>
          <w:tcPr>
            <w:tcW w:type="dxa" w:w="30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b/>
                <w:bCs/>
                <w:color w:val="2D1B6B"/>
                <w:sz w:val="20"/>
                <w:szCs w:val="20"/>
              </w:rPr>
              <w:t xml:space="preserve">Unverified merchant collecting payments</w:t>
            </w:r>
          </w:p>
        </w:tc>
        <w:tc>
          <w:tcPr>
            <w:tcW w:type="dxa" w:w="63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color w:val="1E1B2E"/>
                <w:sz w:val="20"/>
                <w:szCs w:val="20"/>
              </w:rPr>
              <w:t xml:space="preserve">GET /api/invoices/:id/public returns 403 Forbidden if merchant.verification_status != 'verified'. Error body: { code: 'MERCHANT_UNVERIFIED', message: 'This invoice is not currently accepting payments.' }</w:t>
            </w:r>
          </w:p>
        </w:tc>
      </w:tr>
      <w:tr>
        <w:trPr>
          <w:tblHeader w:val="false"/>
        </w:trPr>
        <w:tc>
          <w:tcPr>
            <w:tcW w:type="dxa" w:w="3000"/>
            <w:tcBorders>
              <w:top w:val="single" w:color="DDD6FE" w:sz="4"/>
              <w:left w:val="single" w:color="DDD6FE" w:sz="4"/>
              <w:bottom w:val="single" w:color="DDD6FE" w:sz="4"/>
              <w:right w:val="single" w:color="DDD6FE" w:sz="4"/>
            </w:tcBorders>
            <w:shd w:fill="EDE9FE" w:val="clear"/>
            <w:tcMar>
              <w:top w:type="dxa" w:w="80"/>
              <w:left w:type="dxa" w:w="150"/>
              <w:bottom w:type="dxa" w:w="80"/>
              <w:right w:type="dxa" w:w="150"/>
            </w:tcMar>
          </w:tcPr>
          <w:p>
            <w:r>
              <w:rPr>
                <w:rFonts w:ascii="Arial" w:cs="Arial" w:eastAsia="Arial" w:hAnsi="Arial"/>
                <w:b/>
                <w:bCs/>
                <w:color w:val="2D1B6B"/>
                <w:sz w:val="20"/>
                <w:szCs w:val="20"/>
              </w:rPr>
              <w:t xml:space="preserve">Tier 1 merchant exceeding monthly limit</w:t>
            </w:r>
          </w:p>
        </w:tc>
        <w:tc>
          <w:tcPr>
            <w:tcW w:type="dxa" w:w="63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color w:val="1E1B2E"/>
                <w:sz w:val="20"/>
                <w:szCs w:val="20"/>
              </w:rPr>
              <w:t xml:space="preserve">POST /api/invoices/:id/pay checks sum of successful transactions for current calendar month against monthly_collection_limit. If limit would be exceeded, returns 402 with { code: 'LIMIT_EXCEEDED', message: 'Monthly collection limit reached. Upgrade to Corporate.' }</w:t>
            </w:r>
          </w:p>
        </w:tc>
      </w:tr>
      <w:tr>
        <w:trPr>
          <w:tblHeader w:val="false"/>
        </w:trPr>
        <w:tc>
          <w:tcPr>
            <w:tcW w:type="dxa" w:w="30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b/>
                <w:bCs/>
                <w:color w:val="2D1B6B"/>
                <w:sz w:val="20"/>
                <w:szCs w:val="20"/>
              </w:rPr>
              <w:t xml:space="preserve">Suspended merchant with active links</w:t>
            </w:r>
          </w:p>
        </w:tc>
        <w:tc>
          <w:tcPr>
            <w:tcW w:type="dxa" w:w="63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color w:val="1E1B2E"/>
                <w:sz w:val="20"/>
                <w:szCs w:val="20"/>
              </w:rPr>
              <w:t xml:space="preserve">ALL public invoice endpoints check verification_status on every request. Suspension takes effect within one request cycle — no caching of verification status on public routes.</w:t>
            </w:r>
          </w:p>
        </w:tc>
      </w:tr>
      <w:tr>
        <w:trPr>
          <w:tblHeader w:val="false"/>
        </w:trPr>
        <w:tc>
          <w:tcPr>
            <w:tcW w:type="dxa" w:w="3000"/>
            <w:tcBorders>
              <w:top w:val="single" w:color="DDD6FE" w:sz="4"/>
              <w:left w:val="single" w:color="DDD6FE" w:sz="4"/>
              <w:bottom w:val="single" w:color="DDD6FE" w:sz="4"/>
              <w:right w:val="single" w:color="DDD6FE" w:sz="4"/>
            </w:tcBorders>
            <w:shd w:fill="EDE9FE" w:val="clear"/>
            <w:tcMar>
              <w:top w:type="dxa" w:w="80"/>
              <w:left w:type="dxa" w:w="150"/>
              <w:bottom w:type="dxa" w:w="80"/>
              <w:right w:type="dxa" w:w="150"/>
            </w:tcMar>
          </w:tcPr>
          <w:p>
            <w:r>
              <w:rPr>
                <w:rFonts w:ascii="Arial" w:cs="Arial" w:eastAsia="Arial" w:hAnsi="Arial"/>
                <w:b/>
                <w:bCs/>
                <w:color w:val="2D1B6B"/>
                <w:sz w:val="20"/>
                <w:szCs w:val="20"/>
              </w:rPr>
              <w:t xml:space="preserve">In-flight payment at time of suspension</w:t>
            </w:r>
          </w:p>
        </w:tc>
        <w:tc>
          <w:tcPr>
            <w:tcW w:type="dxa" w:w="63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color w:val="1E1B2E"/>
                <w:sz w:val="20"/>
                <w:szCs w:val="20"/>
              </w:rPr>
              <w:t xml:space="preserve">Webhook handler checks holds_pending_review flag. If true, transaction is logged with status = 'held_pending_review'. Invoice status does NOT update to 'paid/partially_paid' until admin manually releases.</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FBE" w:sz="4"/>
              <w:left w:val="single" w:color="7B2FBE" w:sz="4"/>
              <w:bottom w:val="single" w:color="7B2FBE" w:sz="4"/>
              <w:right w:val="single" w:color="7B2FBE" w:sz="4"/>
            </w:tcBorders>
            <w:shd w:fill="2D1B6B" w:val="clear"/>
            <w:tcMar>
              <w:top w:type="dxa" w:w="180"/>
              <w:left w:type="dxa" w:w="280"/>
              <w:bottom w:type="dxa" w:w="80"/>
              <w:right w:type="dxa" w:w="280"/>
            </w:tcMar>
          </w:tcPr>
          <w:p>
            <w:pPr>
              <w:jc w:val="center"/>
            </w:pPr>
            <w:r>
              <w:rPr>
                <w:rFonts w:ascii="Arial" w:cs="Arial" w:eastAsia="Arial" w:hAnsi="Arial"/>
                <w:b/>
                <w:bCs/>
                <w:color w:val="FFFFFF"/>
                <w:sz w:val="34"/>
                <w:szCs w:val="34"/>
              </w:rPr>
              <w:t xml:space="preserve">13. SUPER ADMIN VERIFICATION PROTOCOL</w:t>
            </w:r>
          </w:p>
          <w:p>
            <w:pPr>
              <w:spacing w:after="100" w:before="60"/>
              <w:jc w:val="center"/>
            </w:pPr>
            <w:r>
              <w:rPr>
                <w:rFonts w:ascii="Arial" w:cs="Arial" w:eastAsia="Arial" w:hAnsi="Arial"/>
                <w:color w:val="C4B5FD"/>
                <w:sz w:val="20"/>
                <w:szCs w:val="20"/>
              </w:rPr>
              <w:t xml:space="preserve">KYC Review Queue &amp; Automated Tier Management</w:t>
            </w:r>
          </w:p>
        </w:tc>
      </w:tr>
    </w:tbl>
    <w:p>
      <w:pPr>
        <w:spacing w:after="80" w:before="80"/>
      </w:pPr>
      <w:r>
        <w:t xml:space="preserve"/>
      </w:r>
    </w:p>
    <w:p>
      <w:pPr>
        <w:pStyle w:val="Heading2"/>
        <w:spacing w:after="120" w:before="320"/>
      </w:pPr>
      <w:r>
        <w:rPr>
          <w:rFonts w:ascii="Arial" w:cs="Arial" w:eastAsia="Arial" w:hAnsi="Arial"/>
          <w:b/>
          <w:bCs/>
          <w:color w:val="7B2FBE"/>
          <w:sz w:val="28"/>
          <w:szCs w:val="28"/>
        </w:rPr>
        <w:t xml:space="preserve">13.1 Verification Inbox (Admin Queue)</w:t>
      </w:r>
    </w:p>
    <w:p>
      <w:pPr>
        <w:spacing w:after="80" w:before="80"/>
      </w:pPr>
      <w:r>
        <w:rPr>
          <w:rFonts w:ascii="Arial" w:cs="Arial" w:eastAsia="Arial" w:hAnsi="Arial"/>
          <w:color w:val="1E1B2E"/>
          <w:sz w:val="22"/>
          <w:szCs w:val="22"/>
        </w:rPr>
        <w:t xml:space="preserve">The SuperAdmin dashboard features a dedicated 'Verification Inbox' as the primary KYC workflow surface. All PENDING and FLAGGED merchant applications are centralised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6FE" w:sz="4"/>
              <w:left w:val="single" w:color="DDD6FE" w:sz="4"/>
              <w:bottom w:val="single" w:color="DDD6FE" w:sz="4"/>
              <w:right w:val="single" w:color="DDD6FE" w:sz="4"/>
            </w:tcBorders>
            <w:shd w:fill="2D1B6B" w:val="clear"/>
            <w:tcMar>
              <w:top w:type="dxa" w:w="80"/>
              <w:left w:type="dxa" w:w="150"/>
              <w:bottom w:type="dxa" w:w="80"/>
              <w:right w:type="dxa" w:w="150"/>
            </w:tcMar>
          </w:tcPr>
          <w:p>
            <w:r>
              <w:rPr>
                <w:rFonts w:ascii="Arial" w:cs="Arial" w:eastAsia="Arial" w:hAnsi="Arial"/>
                <w:b/>
                <w:bCs/>
                <w:color w:val="FFFFFF"/>
                <w:sz w:val="20"/>
                <w:szCs w:val="20"/>
              </w:rPr>
              <w:t xml:space="preserve">View Component</w:t>
            </w:r>
          </w:p>
        </w:tc>
        <w:tc>
          <w:tcPr>
            <w:tcW w:type="dxa" w:w="6560"/>
            <w:tcBorders>
              <w:top w:val="single" w:color="DDD6FE" w:sz="4"/>
              <w:left w:val="single" w:color="DDD6FE" w:sz="4"/>
              <w:bottom w:val="single" w:color="DDD6FE" w:sz="4"/>
              <w:right w:val="single" w:color="DDD6FE" w:sz="4"/>
            </w:tcBorders>
            <w:shd w:fill="7B2FBE" w:val="clear"/>
            <w:tcMar>
              <w:top w:type="dxa" w:w="80"/>
              <w:left w:type="dxa" w:w="150"/>
              <w:bottom w:type="dxa" w:w="80"/>
              <w:right w:type="dxa" w:w="150"/>
            </w:tcMar>
          </w:tcPr>
          <w:p>
            <w:r>
              <w:rPr>
                <w:rFonts w:ascii="Arial" w:cs="Arial" w:eastAsia="Arial" w:hAnsi="Arial"/>
                <w:color w:val="FFFFFF"/>
                <w:sz w:val="20"/>
                <w:szCs w:val="20"/>
              </w:rPr>
              <w:t xml:space="preserve">Specification</w:t>
            </w:r>
          </w:p>
        </w:tc>
      </w:tr>
      <w:tr>
        <w:trPr>
          <w:tblHeader w:val="false"/>
        </w:trPr>
        <w:tc>
          <w:tcPr>
            <w:tcW w:type="dxa" w:w="28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b/>
                <w:bCs/>
                <w:color w:val="2D1B6B"/>
                <w:sz w:val="20"/>
                <w:szCs w:val="20"/>
              </w:rPr>
              <w:t xml:space="preserve">Pending Table</w:t>
            </w:r>
          </w:p>
        </w:tc>
        <w:tc>
          <w:tcPr>
            <w:tcW w:type="dxa" w:w="65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color w:val="1E1B2E"/>
                <w:sz w:val="20"/>
                <w:szCs w:val="20"/>
              </w:rPr>
              <w:t xml:space="preserve">All merchants with verification_status = 'pending', sorted by kyc_submitted_at ascending (oldest first). Columns: Business Name, Tier Requested, Submission Age, Automated Check Status.</w:t>
            </w:r>
          </w:p>
        </w:tc>
      </w:tr>
      <w:tr>
        <w:trPr>
          <w:tblHeader w:val="false"/>
        </w:trPr>
        <w:tc>
          <w:tcPr>
            <w:tcW w:type="dxa" w:w="2800"/>
            <w:tcBorders>
              <w:top w:val="single" w:color="DDD6FE" w:sz="4"/>
              <w:left w:val="single" w:color="DDD6FE" w:sz="4"/>
              <w:bottom w:val="single" w:color="DDD6FE" w:sz="4"/>
              <w:right w:val="single" w:color="DDD6FE" w:sz="4"/>
            </w:tcBorders>
            <w:shd w:fill="EDE9FE" w:val="clear"/>
            <w:tcMar>
              <w:top w:type="dxa" w:w="80"/>
              <w:left w:type="dxa" w:w="150"/>
              <w:bottom w:type="dxa" w:w="80"/>
              <w:right w:type="dxa" w:w="150"/>
            </w:tcMar>
          </w:tcPr>
          <w:p>
            <w:r>
              <w:rPr>
                <w:rFonts w:ascii="Arial" w:cs="Arial" w:eastAsia="Arial" w:hAnsi="Arial"/>
                <w:b/>
                <w:bCs/>
                <w:color w:val="2D1B6B"/>
                <w:sz w:val="20"/>
                <w:szCs w:val="20"/>
              </w:rPr>
              <w:t xml:space="preserve">Automated Check Badge</w:t>
            </w:r>
          </w:p>
        </w:tc>
        <w:tc>
          <w:tcPr>
            <w:tcW w:type="dxa" w:w="65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color w:val="1E1B2E"/>
                <w:sz w:val="20"/>
                <w:szCs w:val="20"/>
              </w:rPr>
              <w:t xml:space="preserve">Each row displays a colour-coded badge for the automated sanity check result: PASSED (green), FAILED (red), INCONCLUSIVE (amber). Admin must review FAILED and INCONCLUSIVE manually.</w:t>
            </w:r>
          </w:p>
        </w:tc>
      </w:tr>
      <w:tr>
        <w:trPr>
          <w:tblHeader w:val="false"/>
        </w:trPr>
        <w:tc>
          <w:tcPr>
            <w:tcW w:type="dxa" w:w="28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b/>
                <w:bCs/>
                <w:color w:val="2D1B6B"/>
                <w:sz w:val="20"/>
                <w:szCs w:val="20"/>
              </w:rPr>
              <w:t xml:space="preserve">Document Viewer Panel</w:t>
            </w:r>
          </w:p>
        </w:tc>
        <w:tc>
          <w:tcPr>
            <w:tcW w:type="dxa" w:w="65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color w:val="1E1B2E"/>
                <w:sz w:val="20"/>
                <w:szCs w:val="20"/>
              </w:rPr>
              <w:t xml:space="preserve">Secure side-panel that renders document previews (CAC certificate, identity proof) inline — no file downloads to local storage. Documents served via signed Supabase Storage URLs with 15-minute expiry.</w:t>
            </w:r>
          </w:p>
        </w:tc>
      </w:tr>
      <w:tr>
        <w:trPr>
          <w:tblHeader w:val="false"/>
        </w:trPr>
        <w:tc>
          <w:tcPr>
            <w:tcW w:type="dxa" w:w="2800"/>
            <w:tcBorders>
              <w:top w:val="single" w:color="DDD6FE" w:sz="4"/>
              <w:left w:val="single" w:color="DDD6FE" w:sz="4"/>
              <w:bottom w:val="single" w:color="DDD6FE" w:sz="4"/>
              <w:right w:val="single" w:color="DDD6FE" w:sz="4"/>
            </w:tcBorders>
            <w:shd w:fill="EDE9FE" w:val="clear"/>
            <w:tcMar>
              <w:top w:type="dxa" w:w="80"/>
              <w:left w:type="dxa" w:w="150"/>
              <w:bottom w:type="dxa" w:w="80"/>
              <w:right w:type="dxa" w:w="150"/>
            </w:tcMar>
          </w:tcPr>
          <w:p>
            <w:r>
              <w:rPr>
                <w:rFonts w:ascii="Arial" w:cs="Arial" w:eastAsia="Arial" w:hAnsi="Arial"/>
                <w:b/>
                <w:bCs/>
                <w:color w:val="2D1B6B"/>
                <w:sz w:val="20"/>
                <w:szCs w:val="20"/>
              </w:rPr>
              <w:t xml:space="preserve">Action Suite</w:t>
            </w:r>
          </w:p>
        </w:tc>
        <w:tc>
          <w:tcPr>
            <w:tcW w:type="dxa" w:w="65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color w:val="1E1B2E"/>
                <w:sz w:val="20"/>
                <w:szCs w:val="20"/>
              </w:rPr>
              <w:t xml:space="preserve">Three primary CTA buttons per merchant: Approve, Reject (requires reason code selection + optional notes), and Request More Info (sends email to merchant with admin's question).</w:t>
            </w:r>
          </w:p>
        </w:tc>
      </w:tr>
      <w:tr>
        <w:trPr>
          <w:tblHeader w:val="false"/>
        </w:trPr>
        <w:tc>
          <w:tcPr>
            <w:tcW w:type="dxa" w:w="28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b/>
                <w:bCs/>
                <w:color w:val="2D1B6B"/>
                <w:sz w:val="20"/>
                <w:szCs w:val="20"/>
              </w:rPr>
              <w:t xml:space="preserve">Flagged Tab</w:t>
            </w:r>
          </w:p>
        </w:tc>
        <w:tc>
          <w:tcPr>
            <w:tcW w:type="dxa" w:w="65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color w:val="1E1B2E"/>
                <w:sz w:val="20"/>
                <w:szCs w:val="20"/>
              </w:rPr>
              <w:t xml:space="preserve">Separate tab for merchants flagged by the automated system or manually flagged by another admin. Includes flag reason and timestamp.</w:t>
            </w:r>
          </w:p>
        </w:tc>
      </w:tr>
    </w:tbl>
    <w:p>
      <w:pPr>
        <w:spacing w:after="80" w:before="80"/>
      </w:pPr>
      <w:r>
        <w:t xml:space="preserve"/>
      </w:r>
    </w:p>
    <w:p>
      <w:pPr>
        <w:pStyle w:val="Heading2"/>
        <w:spacing w:after="120" w:before="320"/>
      </w:pPr>
      <w:r>
        <w:rPr>
          <w:rFonts w:ascii="Arial" w:cs="Arial" w:eastAsia="Arial" w:hAnsi="Arial"/>
          <w:b/>
          <w:bCs/>
          <w:color w:val="7B2FBE"/>
          <w:sz w:val="28"/>
          <w:szCs w:val="28"/>
        </w:rPr>
        <w:t xml:space="preserve">13.2 The Decision Logic (Step-by-Step)</w:t>
      </w:r>
    </w:p>
    <w:p>
      <w:pPr>
        <w:pStyle w:val="Heading3"/>
        <w:spacing w:after="80" w:before="240"/>
      </w:pPr>
      <w:r>
        <w:rPr>
          <w:rFonts w:ascii="Arial" w:cs="Arial" w:eastAsia="Arial" w:hAnsi="Arial"/>
          <w:b/>
          <w:bCs/>
          <w:color w:val="2D1B6B"/>
          <w:sz w:val="24"/>
          <w:szCs w:val="24"/>
        </w:rPr>
        <w:t xml:space="preserve">Step 1: Automated Sanity Check (Pre-Human)</w:t>
      </w:r>
    </w:p>
    <w:p>
      <w:pPr>
        <w:spacing w:after="80" w:before="80"/>
      </w:pPr>
      <w:r>
        <w:rPr>
          <w:rFonts w:ascii="Arial" w:cs="Arial" w:eastAsia="Arial" w:hAnsi="Arial"/>
          <w:color w:val="1E1B2E"/>
          <w:sz w:val="22"/>
          <w:szCs w:val="22"/>
        </w:rPr>
        <w:t xml:space="preserve">Before the application enters the human review queue, the system runs the following automated checks:</w:t>
      </w:r>
    </w:p>
    <w:p>
      <w:pPr>
        <w:pStyle w:val="ListParagraph"/>
        <w:numPr>
          <w:ilvl w:val="0"/>
          <w:numId w:val="3"/>
        </w:numPr>
        <w:spacing w:after="60" w:before="60"/>
      </w:pPr>
      <w:r>
        <w:rPr>
          <w:rFonts w:ascii="Arial" w:cs="Arial" w:eastAsia="Arial" w:hAnsi="Arial"/>
          <w:color w:val="1E1B2E"/>
          <w:sz w:val="22"/>
          <w:szCs w:val="22"/>
        </w:rPr>
        <w:t xml:space="preserve">Duplicate Check: Query the database to determine if the submitted BVN, NIN, or CAC registration number already exists under another verified merchant account. If a match is found, auto-flag and escalate to human review with reason: 'Duplicate Identity Credential.'</w:t>
      </w:r>
    </w:p>
    <w:p>
      <w:pPr>
        <w:pStyle w:val="ListParagraph"/>
        <w:numPr>
          <w:ilvl w:val="0"/>
          <w:numId w:val="3"/>
        </w:numPr>
        <w:spacing w:after="60" w:before="60"/>
      </w:pPr>
      <w:r>
        <w:rPr>
          <w:rFonts w:ascii="Arial" w:cs="Arial" w:eastAsia="Arial" w:hAnsi="Arial"/>
          <w:color w:val="1E1B2E"/>
          <w:sz w:val="22"/>
          <w:szCs w:val="22"/>
        </w:rPr>
        <w:t xml:space="preserve">API Identity Validation (Tier 1 Individual): Call SmileID or Verified.africa API to verify that the submitted BVN/NIN is active and that the name on file matches the merchant's business_name or registered owner name. Result stored as automated_check_status.</w:t>
      </w:r>
    </w:p>
    <w:p>
      <w:pPr>
        <w:pStyle w:val="ListParagraph"/>
        <w:numPr>
          <w:ilvl w:val="0"/>
          <w:numId w:val="3"/>
        </w:numPr>
        <w:spacing w:after="60" w:before="60"/>
      </w:pPr>
      <w:r>
        <w:rPr>
          <w:rFonts w:ascii="Arial" w:cs="Arial" w:eastAsia="Arial" w:hAnsi="Arial"/>
          <w:color w:val="1E1B2E"/>
          <w:sz w:val="22"/>
          <w:szCs w:val="22"/>
        </w:rPr>
        <w:t xml:space="preserve">CAC Portal Cross-Reference (Tier 2 Corporate): Submit CAC number to the CAC API (or manual lookup if API unavailable) to confirm registration is active and not struck-off.</w:t>
      </w:r>
    </w:p>
    <w:p>
      <w:pPr>
        <w:pStyle w:val="ListParagraph"/>
        <w:numPr>
          <w:ilvl w:val="0"/>
          <w:numId w:val="3"/>
        </w:numPr>
        <w:spacing w:after="60" w:before="60"/>
      </w:pPr>
      <w:r>
        <w:rPr>
          <w:rFonts w:ascii="Arial" w:cs="Arial" w:eastAsia="Arial" w:hAnsi="Arial"/>
          <w:color w:val="1E1B2E"/>
          <w:sz w:val="22"/>
          <w:szCs w:val="22"/>
        </w:rPr>
        <w:t xml:space="preserve">Result Routing: PASSED → Fast-track to auto-approval queue (Tier 1 only). FAILED → Block approval, notify merchant with specific failure reason. INCONCLUSIVE → Route to human review queue.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4"/>
            </w:tcBorders>
            <w:shd w:fill="FFFBEB" w:val="clear"/>
            <w:tcMar>
              <w:top w:type="dxa" w:w="120"/>
              <w:left w:type="dxa" w:w="240"/>
              <w:bottom w:type="dxa" w:w="120"/>
              <w:right w:type="dxa" w:w="240"/>
            </w:tcMar>
          </w:tcPr>
          <w:p>
            <w:pPr>
              <w:spacing w:after="80" w:before="40"/>
            </w:pPr>
            <w:r>
              <w:rPr>
                <w:rFonts w:ascii="Arial" w:cs="Arial" w:eastAsia="Arial" w:hAnsi="Arial"/>
                <w:b/>
                <w:bCs/>
                <w:color w:val="92400E"/>
                <w:sz w:val="22"/>
                <w:szCs w:val="22"/>
              </w:rPr>
              <w:t xml:space="preserve">Vendor Dependency: SmileID / Verified.africa (Sprint 1 Blocker)</w:t>
            </w:r>
          </w:p>
          <w:p>
            <w:pPr>
              <w:spacing w:after="40" w:before="40"/>
            </w:pPr>
            <w:r>
              <w:rPr>
                <w:rFonts w:ascii="Arial" w:cs="Arial" w:eastAsia="Arial" w:hAnsi="Arial"/>
                <w:color w:val="1E1B2E"/>
                <w:sz w:val="21"/>
                <w:szCs w:val="21"/>
              </w:rPr>
              <w:t xml:space="preserve">Steps 2 and 3 of the automated check require active API contracts with an identity verification vendor. This is a hard dependency. Without it, ALL individual verifications must be routed to human review, which does not scale. The vendor contract must be signed and API credentials provisioned before Sprint 3 delivery. Assign a contract owner immediately.</w:t>
            </w:r>
          </w:p>
        </w:tc>
      </w:tr>
    </w:tbl>
    <w:p>
      <w:pPr>
        <w:spacing w:after="80" w:before="80"/>
      </w:pPr>
      <w:r>
        <w:t xml:space="preserve"/>
      </w:r>
    </w:p>
    <w:p>
      <w:pPr>
        <w:pStyle w:val="Heading3"/>
        <w:spacing w:after="80" w:before="240"/>
      </w:pPr>
      <w:r>
        <w:rPr>
          <w:rFonts w:ascii="Arial" w:cs="Arial" w:eastAsia="Arial" w:hAnsi="Arial"/>
          <w:b/>
          <w:bCs/>
          <w:color w:val="2D1B6B"/>
          <w:sz w:val="24"/>
          <w:szCs w:val="24"/>
        </w:rPr>
        <w:t xml:space="preserve">Step 2: Human Review (The Cubric Assessment)</w:t>
      </w:r>
    </w:p>
    <w:p>
      <w:pPr>
        <w:spacing w:after="80" w:before="80"/>
      </w:pPr>
      <w:r>
        <w:rPr>
          <w:rFonts w:ascii="Arial" w:cs="Arial" w:eastAsia="Arial" w:hAnsi="Arial"/>
          <w:color w:val="1E1B2E"/>
          <w:sz w:val="22"/>
          <w:szCs w:val="22"/>
        </w:rPr>
        <w:t xml:space="preserve">For Tier 2 (Corporate) accounts and any Tier 1 with an INCONCLUSIVE automated result, the Admin follows this structured checklist. Each step is a clickable checkbox in the Admin UI — the Approve button is disabled until all checklist items are ticked:</w:t>
      </w:r>
    </w:p>
    <w:p>
      <w:pPr>
        <w:pStyle w:val="ListParagraph"/>
        <w:numPr>
          <w:ilvl w:val="0"/>
          <w:numId w:val="3"/>
        </w:numPr>
        <w:spacing w:after="60" w:before="60"/>
      </w:pPr>
      <w:r>
        <w:rPr>
          <w:rFonts w:ascii="Arial" w:cs="Arial" w:eastAsia="Arial" w:hAnsi="Arial"/>
          <w:color w:val="1E1B2E"/>
          <w:sz w:val="22"/>
          <w:szCs w:val="22"/>
        </w:rPr>
        <w:t xml:space="preserve">Name Matching: Does the Business Bank Account Name match the CAC registration name or the identity document name?</w:t>
      </w:r>
    </w:p>
    <w:p>
      <w:pPr>
        <w:pStyle w:val="ListParagraph"/>
        <w:numPr>
          <w:ilvl w:val="0"/>
          <w:numId w:val="3"/>
        </w:numPr>
        <w:spacing w:after="60" w:before="60"/>
      </w:pPr>
      <w:r>
        <w:rPr>
          <w:rFonts w:ascii="Arial" w:cs="Arial" w:eastAsia="Arial" w:hAnsi="Arial"/>
          <w:color w:val="1E1B2E"/>
          <w:sz w:val="22"/>
          <w:szCs w:val="22"/>
        </w:rPr>
        <w:t xml:space="preserve">Activity Audit: Review the merchant's audit_logs for suspicious draft invoice activity during the UNVERIFIED period (e.g., creating 20+ high-value invoices within 24 hours of signup — a potential advance-fee fraud pattern).</w:t>
      </w:r>
    </w:p>
    <w:p>
      <w:pPr>
        <w:pStyle w:val="ListParagraph"/>
        <w:numPr>
          <w:ilvl w:val="0"/>
          <w:numId w:val="3"/>
        </w:numPr>
        <w:spacing w:after="60" w:before="60"/>
      </w:pPr>
      <w:r>
        <w:rPr>
          <w:rFonts w:ascii="Arial" w:cs="Arial" w:eastAsia="Arial" w:hAnsi="Arial"/>
          <w:color w:val="1E1B2E"/>
          <w:sz w:val="22"/>
          <w:szCs w:val="22"/>
        </w:rPr>
        <w:t xml:space="preserve">Blacklist Scan: Cross-reference the merchant's email address and phone number against the platform's internal fraudulent actor registry.</w:t>
      </w:r>
    </w:p>
    <w:p>
      <w:pPr>
        <w:pStyle w:val="ListParagraph"/>
        <w:numPr>
          <w:ilvl w:val="0"/>
          <w:numId w:val="3"/>
        </w:numPr>
        <w:spacing w:after="60" w:before="60"/>
      </w:pPr>
      <w:r>
        <w:rPr>
          <w:rFonts w:ascii="Arial" w:cs="Arial" w:eastAsia="Arial" w:hAnsi="Arial"/>
          <w:color w:val="1E1B2E"/>
          <w:sz w:val="22"/>
          <w:szCs w:val="22"/>
        </w:rPr>
        <w:t xml:space="preserve">Document Authenticity: Inspect the uploaded document for signs of tampering (blurring, inconsistent fonts, pixelation around key fields).</w:t>
      </w:r>
    </w:p>
    <w:p>
      <w:pPr>
        <w:spacing w:after="80" w:before="80"/>
      </w:pPr>
      <w:r>
        <w:t xml:space="preserve"/>
      </w:r>
    </w:p>
    <w:p>
      <w:pPr>
        <w:pStyle w:val="Heading3"/>
        <w:spacing w:after="80" w:before="240"/>
      </w:pPr>
      <w:r>
        <w:rPr>
          <w:rFonts w:ascii="Arial" w:cs="Arial" w:eastAsia="Arial" w:hAnsi="Arial"/>
          <w:b/>
          <w:bCs/>
          <w:color w:val="2D1B6B"/>
          <w:sz w:val="24"/>
          <w:szCs w:val="24"/>
        </w:rPr>
        <w:t xml:space="preserve">Step 3: Action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6FE" w:sz="4"/>
              <w:left w:val="single" w:color="DDD6FE" w:sz="4"/>
              <w:bottom w:val="single" w:color="DDD6FE" w:sz="4"/>
              <w:right w:val="single" w:color="DDD6FE" w:sz="4"/>
            </w:tcBorders>
            <w:shd w:fill="2D1B6B" w:val="clear"/>
            <w:tcMar>
              <w:top w:type="dxa" w:w="80"/>
              <w:left w:type="dxa" w:w="150"/>
              <w:bottom w:type="dxa" w:w="80"/>
              <w:right w:type="dxa" w:w="150"/>
            </w:tcMar>
          </w:tcPr>
          <w:p>
            <w:r>
              <w:rPr>
                <w:rFonts w:ascii="Arial" w:cs="Arial" w:eastAsia="Arial" w:hAnsi="Arial"/>
                <w:b/>
                <w:bCs/>
                <w:color w:val="FFFFFF"/>
                <w:sz w:val="20"/>
                <w:szCs w:val="20"/>
              </w:rPr>
              <w:t xml:space="preserve">Action</w:t>
            </w:r>
          </w:p>
        </w:tc>
        <w:tc>
          <w:tcPr>
            <w:tcW w:type="dxa" w:w="6960"/>
            <w:tcBorders>
              <w:top w:val="single" w:color="DDD6FE" w:sz="4"/>
              <w:left w:val="single" w:color="DDD6FE" w:sz="4"/>
              <w:bottom w:val="single" w:color="DDD6FE" w:sz="4"/>
              <w:right w:val="single" w:color="DDD6FE" w:sz="4"/>
            </w:tcBorders>
            <w:shd w:fill="7B2FBE" w:val="clear"/>
            <w:tcMar>
              <w:top w:type="dxa" w:w="80"/>
              <w:left w:type="dxa" w:w="150"/>
              <w:bottom w:type="dxa" w:w="80"/>
              <w:right w:type="dxa" w:w="150"/>
            </w:tcMar>
          </w:tcPr>
          <w:p>
            <w:r>
              <w:rPr>
                <w:rFonts w:ascii="Arial" w:cs="Arial" w:eastAsia="Arial" w:hAnsi="Arial"/>
                <w:color w:val="FFFFFF"/>
                <w:sz w:val="20"/>
                <w:szCs w:val="20"/>
              </w:rPr>
              <w:t xml:space="preserve">System Behaviour</w:t>
            </w:r>
          </w:p>
        </w:tc>
      </w:tr>
      <w:tr>
        <w:trPr>
          <w:tblHeader w:val="false"/>
        </w:trPr>
        <w:tc>
          <w:tcPr>
            <w:tcW w:type="dxa" w:w="24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b/>
                <w:bCs/>
                <w:color w:val="2D1B6B"/>
                <w:sz w:val="20"/>
                <w:szCs w:val="20"/>
              </w:rPr>
              <w:t xml:space="preserve">APPROVE</w:t>
            </w:r>
          </w:p>
        </w:tc>
        <w:tc>
          <w:tcPr>
            <w:tcW w:type="dxa" w:w="69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color w:val="1E1B2E"/>
                <w:sz w:val="20"/>
                <w:szCs w:val="20"/>
              </w:rPr>
              <w:t xml:space="preserve">Updates verification_status = 'verified'. Sets merchant_tier to requested tier. Updates monthly_collection_limit from platform_settings. Activates Paystack Subaccount. Sends approval email to merchant. Logs event to audit_logs with verification_method = 'automated' or 'manual_review'.</w:t>
            </w:r>
          </w:p>
        </w:tc>
      </w:tr>
      <w:tr>
        <w:trPr>
          <w:tblHeader w:val="false"/>
        </w:trPr>
        <w:tc>
          <w:tcPr>
            <w:tcW w:type="dxa" w:w="2400"/>
            <w:tcBorders>
              <w:top w:val="single" w:color="DDD6FE" w:sz="4"/>
              <w:left w:val="single" w:color="DDD6FE" w:sz="4"/>
              <w:bottom w:val="single" w:color="DDD6FE" w:sz="4"/>
              <w:right w:val="single" w:color="DDD6FE" w:sz="4"/>
            </w:tcBorders>
            <w:shd w:fill="EDE9FE" w:val="clear"/>
            <w:tcMar>
              <w:top w:type="dxa" w:w="80"/>
              <w:left w:type="dxa" w:w="150"/>
              <w:bottom w:type="dxa" w:w="80"/>
              <w:right w:type="dxa" w:w="150"/>
            </w:tcMar>
          </w:tcPr>
          <w:p>
            <w:r>
              <w:rPr>
                <w:rFonts w:ascii="Arial" w:cs="Arial" w:eastAsia="Arial" w:hAnsi="Arial"/>
                <w:b/>
                <w:bCs/>
                <w:color w:val="2D1B6B"/>
                <w:sz w:val="20"/>
                <w:szCs w:val="20"/>
              </w:rPr>
              <w:t xml:space="preserve">REJECT</w:t>
            </w:r>
          </w:p>
        </w:tc>
        <w:tc>
          <w:tcPr>
            <w:tcW w:type="dxa" w:w="69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color w:val="1E1B2E"/>
                <w:sz w:val="20"/>
                <w:szCs w:val="20"/>
              </w:rPr>
              <w:t xml:space="preserve">Admin selects mandatory Reason Code: 'Document Expired', 'Name Mismatch', 'Duplicate Identity', 'CAC Struck-Off', 'Suspicious Activity', 'Incomplete Submission', 'Other (freetext)'. Reason stored in kyc_notes. Rejection email sent to merchant. Merchant can resubmit after correcting the issue.</w:t>
            </w:r>
          </w:p>
        </w:tc>
      </w:tr>
      <w:tr>
        <w:trPr>
          <w:tblHeader w:val="false"/>
        </w:trPr>
        <w:tc>
          <w:tcPr>
            <w:tcW w:type="dxa" w:w="24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b/>
                <w:bCs/>
                <w:color w:val="2D1B6B"/>
                <w:sz w:val="20"/>
                <w:szCs w:val="20"/>
              </w:rPr>
              <w:t xml:space="preserve">REQUEST MORE INFO</w:t>
            </w:r>
          </w:p>
        </w:tc>
        <w:tc>
          <w:tcPr>
            <w:tcW w:type="dxa" w:w="69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color w:val="1E1B2E"/>
                <w:sz w:val="20"/>
                <w:szCs w:val="20"/>
              </w:rPr>
              <w:t xml:space="preserve">Admin types a specific question (minimum 10 characters). Email sent to merchant. Merchant status remains PENDING. Application remains in queue with 'Awaiting Merchant Response' badge. Auto-escalates to human review if no response in 5 business days.</w:t>
            </w:r>
          </w:p>
        </w:tc>
      </w:tr>
    </w:tbl>
    <w:p>
      <w:pPr>
        <w:spacing w:after="80" w:before="80"/>
      </w:pPr>
      <w:r>
        <w:t xml:space="preserve"/>
      </w:r>
    </w:p>
    <w:p>
      <w:pPr>
        <w:pStyle w:val="Heading2"/>
        <w:spacing w:after="120" w:before="320"/>
      </w:pPr>
      <w:r>
        <w:rPr>
          <w:rFonts w:ascii="Arial" w:cs="Arial" w:eastAsia="Arial" w:hAnsi="Arial"/>
          <w:b/>
          <w:bCs/>
          <w:color w:val="7B2FBE"/>
          <w:sz w:val="28"/>
          <w:szCs w:val="28"/>
        </w:rPr>
        <w:t xml:space="preserve">13.3 Automated Tier-Up Logic</w:t>
      </w:r>
    </w:p>
    <w:p>
      <w:pPr>
        <w:spacing w:after="80" w:before="80"/>
      </w:pPr>
      <w:r>
        <w:rPr>
          <w:rFonts w:ascii="Arial" w:cs="Arial" w:eastAsia="Arial" w:hAnsi="Arial"/>
          <w:color w:val="1E1B2E"/>
          <w:sz w:val="22"/>
          <w:szCs w:val="22"/>
        </w:rPr>
        <w:t xml:space="preserve">For Tier 1 (Individual) merchants, the platform runs a nightly background job to identify candidates for a Corporate Upgrade invitation. The Tier-Up invitation requires ALL three conditions to be simultaneously true:</w:t>
      </w:r>
    </w:p>
    <w:p>
      <w:pPr>
        <w:pStyle w:val="ListParagraph"/>
        <w:numPr>
          <w:ilvl w:val="0"/>
          <w:numId w:val="2"/>
        </w:numPr>
        <w:spacing w:after="60" w:before="60"/>
      </w:pPr>
      <w:r>
        <w:rPr>
          <w:rFonts w:ascii="Arial" w:cs="Arial" w:eastAsia="Arial" w:hAnsi="Arial"/>
          <w:color w:val="1E1B2E"/>
          <w:sz w:val="22"/>
          <w:szCs w:val="22"/>
        </w:rPr>
        <w:t xml:space="preserve">Condition A — Collection Threshold: Total successful collections since account creation &gt;= ₦1,000,000</w:t>
      </w:r>
    </w:p>
    <w:p>
      <w:pPr>
        <w:pStyle w:val="ListParagraph"/>
        <w:numPr>
          <w:ilvl w:val="0"/>
          <w:numId w:val="2"/>
        </w:numPr>
        <w:spacing w:after="60" w:before="60"/>
      </w:pPr>
      <w:r>
        <w:rPr>
          <w:rFonts w:ascii="Arial" w:cs="Arial" w:eastAsia="Arial" w:hAnsi="Arial"/>
          <w:color w:val="1E1B2E"/>
          <w:sz w:val="22"/>
          <w:szCs w:val="22"/>
        </w:rPr>
        <w:t xml:space="preserve">Condition B — Account Maturity: Account age &gt;= 60 days from creation date (prevents single-invoice gaming)</w:t>
      </w:r>
    </w:p>
    <w:p>
      <w:pPr>
        <w:pStyle w:val="ListParagraph"/>
        <w:numPr>
          <w:ilvl w:val="0"/>
          <w:numId w:val="2"/>
        </w:numPr>
        <w:spacing w:after="60" w:before="60"/>
      </w:pPr>
      <w:r>
        <w:rPr>
          <w:rFonts w:ascii="Arial" w:cs="Arial" w:eastAsia="Arial" w:hAnsi="Arial"/>
          <w:color w:val="1E1B2E"/>
          <w:sz w:val="22"/>
          <w:szCs w:val="22"/>
        </w:rPr>
        <w:t xml:space="preserve">Condition C — Clean History: Zero Paystack chargebacks recorded in the past 90 days</w:t>
      </w:r>
    </w:p>
    <w:p>
      <w:pPr>
        <w:spacing w:after="80" w:before="80"/>
      </w:pPr>
      <w:r>
        <w:t xml:space="preserve"/>
      </w:r>
    </w:p>
    <w:p>
      <w:pPr>
        <w:spacing w:after="80" w:before="80"/>
      </w:pPr>
      <w:r>
        <w:rPr>
          <w:rFonts w:ascii="Arial" w:cs="Arial" w:eastAsia="Arial" w:hAnsi="Arial"/>
          <w:color w:val="1E1B2E"/>
          <w:sz w:val="22"/>
          <w:szCs w:val="22"/>
        </w:rPr>
        <w:t xml:space="preserve">When all three conditions are met, the system:</w:t>
      </w:r>
    </w:p>
    <w:p>
      <w:pPr>
        <w:pStyle w:val="ListParagraph"/>
        <w:numPr>
          <w:ilvl w:val="0"/>
          <w:numId w:val="3"/>
        </w:numPr>
        <w:spacing w:after="60" w:before="60"/>
      </w:pPr>
      <w:r>
        <w:rPr>
          <w:rFonts w:ascii="Arial" w:cs="Arial" w:eastAsia="Arial" w:hAnsi="Arial"/>
          <w:color w:val="1E1B2E"/>
          <w:sz w:val="22"/>
          <w:szCs w:val="22"/>
        </w:rPr>
        <w:t xml:space="preserve">Creates a notification in the merchant's dashboard: 'You qualify for Corporate status. This removes your monthly collection limit. Upload your CAC documents to upgrade.'</w:t>
      </w:r>
    </w:p>
    <w:p>
      <w:pPr>
        <w:pStyle w:val="ListParagraph"/>
        <w:numPr>
          <w:ilvl w:val="0"/>
          <w:numId w:val="3"/>
        </w:numPr>
        <w:spacing w:after="60" w:before="60"/>
      </w:pPr>
      <w:r>
        <w:rPr>
          <w:rFonts w:ascii="Arial" w:cs="Arial" w:eastAsia="Arial" w:hAnsi="Arial"/>
          <w:color w:val="1E1B2E"/>
          <w:sz w:val="22"/>
          <w:szCs w:val="22"/>
        </w:rPr>
        <w:t xml:space="preserve">Flags the merchant in the Admin Verification Inbox with event type: 'tier_up_candidate'.</w:t>
      </w:r>
    </w:p>
    <w:p>
      <w:pPr>
        <w:pStyle w:val="ListParagraph"/>
        <w:numPr>
          <w:ilvl w:val="0"/>
          <w:numId w:val="3"/>
        </w:numPr>
        <w:spacing w:after="60" w:before="60"/>
      </w:pPr>
      <w:r>
        <w:rPr>
          <w:rFonts w:ascii="Arial" w:cs="Arial" w:eastAsia="Arial" w:hAnsi="Arial"/>
          <w:color w:val="1E1B2E"/>
          <w:sz w:val="22"/>
          <w:szCs w:val="22"/>
        </w:rPr>
        <w:t xml:space="preserve">Does NOT automatically change the merchant's tier — upgrade still requires the merchant to submit CAC documents and Admin approval.</w:t>
      </w:r>
    </w:p>
    <w:p>
      <w:pPr>
        <w:spacing w:after="80" w:before="80"/>
      </w:pPr>
      <w:r>
        <w:t xml:space="preserve"/>
      </w:r>
    </w:p>
    <w:p>
      <w:pPr>
        <w:pStyle w:val="Heading2"/>
        <w:spacing w:after="120" w:before="320"/>
      </w:pPr>
      <w:r>
        <w:rPr>
          <w:rFonts w:ascii="Arial" w:cs="Arial" w:eastAsia="Arial" w:hAnsi="Arial"/>
          <w:b/>
          <w:bCs/>
          <w:color w:val="7B2FBE"/>
          <w:sz w:val="28"/>
          <w:szCs w:val="28"/>
        </w:rPr>
        <w:t xml:space="preserve">13.4 Admin Audit Log Format</w:t>
      </w:r>
    </w:p>
    <w:p>
      <w:pPr>
        <w:spacing w:after="80" w:before="80"/>
      </w:pPr>
      <w:r>
        <w:rPr>
          <w:rFonts w:ascii="Arial" w:cs="Arial" w:eastAsia="Arial" w:hAnsi="Arial"/>
          <w:color w:val="1E1B2E"/>
          <w:sz w:val="22"/>
          <w:szCs w:val="22"/>
        </w:rPr>
        <w:t xml:space="preserve">Every verification action is logged to the audit_logs table (PRD v1.0 Section 5.6) with the following metadata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FBE" w:sz="4"/>
              <w:left w:val="single" w:color="7B2FBE" w:sz="4"/>
              <w:bottom w:val="single" w:color="7B2FBE" w:sz="4"/>
              <w:right w:val="single" w:color="7B2FBE" w:sz="4"/>
            </w:tcBorders>
            <w:shd w:fill="1E1B2E" w:val="clear"/>
            <w:tcMar>
              <w:top w:type="dxa" w:w="160"/>
              <w:left w:type="dxa" w:w="240"/>
              <w:bottom w:type="dxa" w:w="160"/>
              <w:right w:type="dxa" w:w="240"/>
            </w:tcMar>
          </w:tcPr>
          <w:p>
            <w:r>
              <w:rPr>
                <w:rFonts w:ascii="Courier New" w:cs="Courier New" w:eastAsia="Courier New" w:hAnsi="Courier New"/>
                <w:color w:val="C4B5FD"/>
                <w:sz w:val="19"/>
                <w:szCs w:val="19"/>
              </w:rPr>
              <w:t xml:space="preserve">-- Verification Approval Log</w:t>
            </w:r>
          </w:p>
          <w:p>
            <w:r>
              <w:rPr>
                <w:rFonts w:ascii="Courier New" w:cs="Courier New" w:eastAsia="Courier New" w:hAnsi="Courier New"/>
                <w:color w:val="C4B5FD"/>
                <w:sz w:val="19"/>
                <w:szCs w:val="19"/>
              </w:rPr>
              <w:t xml:space="preserve">{</w:t>
            </w:r>
          </w:p>
          <w:p>
            <w:r>
              <w:rPr>
                <w:rFonts w:ascii="Courier New" w:cs="Courier New" w:eastAsia="Courier New" w:hAnsi="Courier New"/>
                <w:color w:val="C4B5FD"/>
                <w:sz w:val="19"/>
                <w:szCs w:val="19"/>
              </w:rPr>
              <w:t xml:space="preserve">  "event": "merchant_verified",</w:t>
            </w:r>
          </w:p>
          <w:p>
            <w:r>
              <w:rPr>
                <w:rFonts w:ascii="Courier New" w:cs="Courier New" w:eastAsia="Courier New" w:hAnsi="Courier New"/>
                <w:color w:val="C4B5FD"/>
                <w:sz w:val="19"/>
                <w:szCs w:val="19"/>
              </w:rPr>
              <w:t xml:space="preserve">  "admin_id": "uuid-of-admin",</w:t>
            </w:r>
          </w:p>
          <w:p>
            <w:r>
              <w:rPr>
                <w:rFonts w:ascii="Courier New" w:cs="Courier New" w:eastAsia="Courier New" w:hAnsi="Courier New"/>
                <w:color w:val="C4B5FD"/>
                <w:sz w:val="19"/>
                <w:szCs w:val="19"/>
              </w:rPr>
              <w:t xml:space="preserve">  "merchant_id": "uuid-of-merchant",</w:t>
            </w:r>
          </w:p>
          <w:p>
            <w:r>
              <w:rPr>
                <w:rFonts w:ascii="Courier New" w:cs="Courier New" w:eastAsia="Courier New" w:hAnsi="Courier New"/>
                <w:color w:val="C4B5FD"/>
                <w:sz w:val="19"/>
                <w:szCs w:val="19"/>
              </w:rPr>
              <w:t xml:space="preserve">  "old_status": "pending",</w:t>
            </w:r>
          </w:p>
          <w:p>
            <w:r>
              <w:rPr>
                <w:rFonts w:ascii="Courier New" w:cs="Courier New" w:eastAsia="Courier New" w:hAnsi="Courier New"/>
                <w:color w:val="C4B5FD"/>
                <w:sz w:val="19"/>
                <w:szCs w:val="19"/>
              </w:rPr>
              <w:t xml:space="preserve">  "new_status": "verified",</w:t>
            </w:r>
          </w:p>
          <w:p>
            <w:r>
              <w:rPr>
                <w:rFonts w:ascii="Courier New" w:cs="Courier New" w:eastAsia="Courier New" w:hAnsi="Courier New"/>
                <w:color w:val="C4B5FD"/>
                <w:sz w:val="19"/>
                <w:szCs w:val="19"/>
              </w:rPr>
              <w:t xml:space="preserve">  "old_tier": "starter",</w:t>
            </w:r>
          </w:p>
          <w:p>
            <w:r>
              <w:rPr>
                <w:rFonts w:ascii="Courier New" w:cs="Courier New" w:eastAsia="Courier New" w:hAnsi="Courier New"/>
                <w:color w:val="C4B5FD"/>
                <w:sz w:val="19"/>
                <w:szCs w:val="19"/>
              </w:rPr>
              <w:t xml:space="preserve">  "new_tier": "individual",</w:t>
            </w:r>
          </w:p>
          <w:p>
            <w:r>
              <w:rPr>
                <w:rFonts w:ascii="Courier New" w:cs="Courier New" w:eastAsia="Courier New" w:hAnsi="Courier New"/>
                <w:color w:val="C4B5FD"/>
                <w:sz w:val="19"/>
                <w:szCs w:val="19"/>
              </w:rPr>
              <w:t xml:space="preserve">  "verification_method": "manual_review",  // or "automated"</w:t>
            </w:r>
          </w:p>
          <w:p>
            <w:r>
              <w:rPr>
                <w:rFonts w:ascii="Courier New" w:cs="Courier New" w:eastAsia="Courier New" w:hAnsi="Courier New"/>
                <w:color w:val="C4B5FD"/>
                <w:sz w:val="19"/>
                <w:szCs w:val="19"/>
              </w:rPr>
              <w:t xml:space="preserve">  "automated_check_result": "inconclusive",</w:t>
            </w:r>
          </w:p>
          <w:p>
            <w:r>
              <w:rPr>
                <w:rFonts w:ascii="Courier New" w:cs="Courier New" w:eastAsia="Courier New" w:hAnsi="Courier New"/>
                <w:color w:val="C4B5FD"/>
                <w:sz w:val="19"/>
                <w:szCs w:val="19"/>
              </w:rPr>
              <w:t xml:space="preserve">  "checklist_completed": true,</w:t>
            </w:r>
          </w:p>
          <w:p>
            <w:r>
              <w:rPr>
                <w:rFonts w:ascii="Courier New" w:cs="Courier New" w:eastAsia="Courier New" w:hAnsi="Courier New"/>
                <w:color w:val="C4B5FD"/>
                <w:sz w:val="19"/>
                <w:szCs w:val="19"/>
              </w:rPr>
              <w:t xml:space="preserve">  "monthly_limit_set": 500000,</w:t>
            </w:r>
          </w:p>
          <w:p>
            <w:r>
              <w:rPr>
                <w:rFonts w:ascii="Courier New" w:cs="Courier New" w:eastAsia="Courier New" w:hAnsi="Courier New"/>
                <w:color w:val="C4B5FD"/>
                <w:sz w:val="19"/>
                <w:szCs w:val="19"/>
              </w:rPr>
              <w:t xml:space="preserve">  "notes": "Verified against CAC portal reference #998877"</w:t>
            </w:r>
          </w:p>
          <w:p>
            <w:r>
              <w:rPr>
                <w:rFonts w:ascii="Courier New" w:cs="Courier New" w:eastAsia="Courier New" w:hAnsi="Courier New"/>
                <w:color w:val="C4B5FD"/>
                <w:sz w:val="19"/>
                <w:szCs w:val="19"/>
              </w:rPr>
              <w:t xml:space="preserve">}</w:t>
            </w:r>
          </w:p>
          <w:p>
            <w:r>
              <w:rPr>
                <w:rFonts w:ascii="Courier New" w:cs="Courier New" w:eastAsia="Courier New" w:hAnsi="Courier New"/>
                <w:color w:val="C4B5FD"/>
                <w:sz w:val="19"/>
                <w:szCs w:val="19"/>
              </w:rPr>
              <w:t xml:space="preserve"/>
            </w:r>
          </w:p>
          <w:p>
            <w:r>
              <w:rPr>
                <w:rFonts w:ascii="Courier New" w:cs="Courier New" w:eastAsia="Courier New" w:hAnsi="Courier New"/>
                <w:color w:val="C4B5FD"/>
                <w:sz w:val="19"/>
                <w:szCs w:val="19"/>
              </w:rPr>
              <w:t xml:space="preserve">-- Rejection Log</w:t>
            </w:r>
          </w:p>
          <w:p>
            <w:r>
              <w:rPr>
                <w:rFonts w:ascii="Courier New" w:cs="Courier New" w:eastAsia="Courier New" w:hAnsi="Courier New"/>
                <w:color w:val="C4B5FD"/>
                <w:sz w:val="19"/>
                <w:szCs w:val="19"/>
              </w:rPr>
              <w:t xml:space="preserve">{</w:t>
            </w:r>
          </w:p>
          <w:p>
            <w:r>
              <w:rPr>
                <w:rFonts w:ascii="Courier New" w:cs="Courier New" w:eastAsia="Courier New" w:hAnsi="Courier New"/>
                <w:color w:val="C4B5FD"/>
                <w:sz w:val="19"/>
                <w:szCs w:val="19"/>
              </w:rPr>
              <w:t xml:space="preserve">  "event": "merchant_rejected",</w:t>
            </w:r>
          </w:p>
          <w:p>
            <w:r>
              <w:rPr>
                <w:rFonts w:ascii="Courier New" w:cs="Courier New" w:eastAsia="Courier New" w:hAnsi="Courier New"/>
                <w:color w:val="C4B5FD"/>
                <w:sz w:val="19"/>
                <w:szCs w:val="19"/>
              </w:rPr>
              <w:t xml:space="preserve">  "admin_id": "uuid-of-admin",</w:t>
            </w:r>
          </w:p>
          <w:p>
            <w:r>
              <w:rPr>
                <w:rFonts w:ascii="Courier New" w:cs="Courier New" w:eastAsia="Courier New" w:hAnsi="Courier New"/>
                <w:color w:val="C4B5FD"/>
                <w:sz w:val="19"/>
                <w:szCs w:val="19"/>
              </w:rPr>
              <w:t xml:space="preserve">  "merchant_id": "uuid-of-merchant",</w:t>
            </w:r>
          </w:p>
          <w:p>
            <w:r>
              <w:rPr>
                <w:rFonts w:ascii="Courier New" w:cs="Courier New" w:eastAsia="Courier New" w:hAnsi="Courier New"/>
                <w:color w:val="C4B5FD"/>
                <w:sz w:val="19"/>
                <w:szCs w:val="19"/>
              </w:rPr>
              <w:t xml:space="preserve">  "reason_code": "name_mismatch",</w:t>
            </w:r>
          </w:p>
          <w:p>
            <w:r>
              <w:rPr>
                <w:rFonts w:ascii="Courier New" w:cs="Courier New" w:eastAsia="Courier New" w:hAnsi="Courier New"/>
                <w:color w:val="C4B5FD"/>
                <w:sz w:val="19"/>
                <w:szCs w:val="19"/>
              </w:rPr>
              <w:t xml:space="preserve">  "reason_detail": "Bank account name: Chidi Okafor. CAC name: Chidimma Okafor Ltd. Names do not match.",</w:t>
            </w:r>
          </w:p>
          <w:p>
            <w:r>
              <w:rPr>
                <w:rFonts w:ascii="Courier New" w:cs="Courier New" w:eastAsia="Courier New" w:hAnsi="Courier New"/>
                <w:color w:val="C4B5FD"/>
                <w:sz w:val="19"/>
                <w:szCs w:val="19"/>
              </w:rPr>
              <w:t xml:space="preserve">  "merchant_notified": true</w:t>
            </w:r>
          </w:p>
          <w:p>
            <w:r>
              <w:rPr>
                <w:rFonts w:ascii="Courier New" w:cs="Courier New" w:eastAsia="Courier New" w:hAnsi="Courier New"/>
                <w:color w:val="C4B5FD"/>
                <w:sz w:val="19"/>
                <w:szCs w:val="19"/>
              </w:rPr>
              <w:t xml:space="preserve">}</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FBE" w:sz="4"/>
              <w:left w:val="single" w:color="7B2FBE" w:sz="4"/>
              <w:bottom w:val="single" w:color="7B2FBE" w:sz="4"/>
              <w:right w:val="single" w:color="7B2FBE" w:sz="4"/>
            </w:tcBorders>
            <w:shd w:fill="2D1B6B" w:val="clear"/>
            <w:tcMar>
              <w:top w:type="dxa" w:w="180"/>
              <w:left w:type="dxa" w:w="280"/>
              <w:bottom w:type="dxa" w:w="80"/>
              <w:right w:type="dxa" w:w="280"/>
            </w:tcMar>
          </w:tcPr>
          <w:p>
            <w:pPr>
              <w:jc w:val="center"/>
            </w:pPr>
            <w:r>
              <w:rPr>
                <w:rFonts w:ascii="Arial" w:cs="Arial" w:eastAsia="Arial" w:hAnsi="Arial"/>
                <w:b/>
                <w:bCs/>
                <w:color w:val="FFFFFF"/>
                <w:sz w:val="34"/>
                <w:szCs w:val="34"/>
              </w:rPr>
              <w:t xml:space="preserve">14. TEAM ROLE-BASED ACCESS CONTROL (RBAC)</w:t>
            </w:r>
          </w:p>
          <w:p>
            <w:pPr>
              <w:spacing w:after="100" w:before="60"/>
              <w:jc w:val="center"/>
            </w:pPr>
            <w:r>
              <w:rPr>
                <w:rFonts w:ascii="Arial" w:cs="Arial" w:eastAsia="Arial" w:hAnsi="Arial"/>
                <w:color w:val="C4B5FD"/>
                <w:sz w:val="20"/>
                <w:szCs w:val="20"/>
              </w:rPr>
              <w:t xml:space="preserve">Merchant Portal Team Management</w:t>
            </w:r>
          </w:p>
        </w:tc>
      </w:tr>
    </w:tbl>
    <w:p>
      <w:pPr>
        <w:spacing w:after="80" w:before="80"/>
      </w:pPr>
      <w:r>
        <w:t xml:space="preserve"/>
      </w:r>
    </w:p>
    <w:p>
      <w:pPr>
        <w:pStyle w:val="Heading2"/>
        <w:spacing w:after="120" w:before="320"/>
      </w:pPr>
      <w:r>
        <w:rPr>
          <w:rFonts w:ascii="Arial" w:cs="Arial" w:eastAsia="Arial" w:hAnsi="Arial"/>
          <w:b/>
          <w:bCs/>
          <w:color w:val="7B2FBE"/>
          <w:sz w:val="28"/>
          <w:szCs w:val="28"/>
        </w:rPr>
        <w:t xml:space="preserve">14.1 Role Definitions &amp; Permissions Matrix</w:t>
      </w:r>
    </w:p>
    <w:p>
      <w:pPr>
        <w:spacing w:after="80" w:before="80"/>
      </w:pPr>
      <w:r>
        <w:rPr>
          <w:rFonts w:ascii="Arial" w:cs="Arial" w:eastAsia="Arial" w:hAnsi="Arial"/>
          <w:color w:val="1E1B2E"/>
          <w:sz w:val="22"/>
          <w:szCs w:val="22"/>
        </w:rPr>
        <w:t xml:space="preserve">Within each merchant portal, the Owner can invite team members and assign them predefined or custom roles. The following matrix defines the permissions for each pre-defined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40"/>
        <w:gridCol w:w="1440"/>
        <w:gridCol w:w="1440"/>
        <w:gridCol w:w="2440"/>
      </w:tblGrid>
      <w:tr>
        <w:trPr>
          <w:tblHeader/>
        </w:trPr>
        <w:tc>
          <w:tcPr>
            <w:tcW w:type="dxa" w:w="2600"/>
            <w:tcBorders>
              <w:top w:val="single" w:color="DDD6FE" w:sz="4"/>
              <w:left w:val="single" w:color="DDD6FE" w:sz="4"/>
              <w:bottom w:val="single" w:color="DDD6FE" w:sz="4"/>
              <w:right w:val="single" w:color="DDD6FE" w:sz="4"/>
            </w:tcBorders>
            <w:shd w:fill="2D1B6B" w:val="clear"/>
            <w:tcMar>
              <w:top w:type="dxa" w:w="70"/>
              <w:left w:type="dxa" w:w="120"/>
              <w:bottom w:type="dxa" w:w="70"/>
              <w:right w:type="dxa" w:w="120"/>
            </w:tcMar>
          </w:tcPr>
          <w:p>
            <w:r>
              <w:rPr>
                <w:rFonts w:ascii="Arial" w:cs="Arial" w:eastAsia="Arial" w:hAnsi="Arial"/>
                <w:b/>
                <w:bCs/>
                <w:color w:val="FFFFFF"/>
                <w:sz w:val="19"/>
                <w:szCs w:val="19"/>
              </w:rPr>
              <w:t xml:space="preserve">Permission / Action</w:t>
            </w:r>
          </w:p>
        </w:tc>
        <w:tc>
          <w:tcPr>
            <w:tcW w:type="dxa" w:w="1440"/>
            <w:tcBorders>
              <w:top w:val="single" w:color="DDD6FE" w:sz="4"/>
              <w:left w:val="single" w:color="DDD6FE" w:sz="4"/>
              <w:bottom w:val="single" w:color="DDD6FE" w:sz="4"/>
              <w:right w:val="single" w:color="DDD6FE" w:sz="4"/>
            </w:tcBorders>
            <w:shd w:fill="2D1B6B" w:val="clear"/>
            <w:tcMar>
              <w:top w:type="dxa" w:w="70"/>
              <w:left w:type="dxa" w:w="120"/>
              <w:bottom w:type="dxa" w:w="70"/>
              <w:right w:type="dxa" w:w="120"/>
            </w:tcMar>
          </w:tcPr>
          <w:p>
            <w:r>
              <w:rPr>
                <w:rFonts w:ascii="Arial" w:cs="Arial" w:eastAsia="Arial" w:hAnsi="Arial"/>
                <w:b/>
                <w:bCs/>
                <w:color w:val="FFFFFF"/>
                <w:sz w:val="19"/>
                <w:szCs w:val="19"/>
              </w:rPr>
              <w:t xml:space="preserve">Owner</w:t>
            </w:r>
          </w:p>
        </w:tc>
        <w:tc>
          <w:tcPr>
            <w:tcW w:type="dxa" w:w="1440"/>
            <w:tcBorders>
              <w:top w:val="single" w:color="DDD6FE" w:sz="4"/>
              <w:left w:val="single" w:color="DDD6FE" w:sz="4"/>
              <w:bottom w:val="single" w:color="DDD6FE" w:sz="4"/>
              <w:right w:val="single" w:color="DDD6FE" w:sz="4"/>
            </w:tcBorders>
            <w:shd w:fill="2D1B6B" w:val="clear"/>
            <w:tcMar>
              <w:top w:type="dxa" w:w="70"/>
              <w:left w:type="dxa" w:w="120"/>
              <w:bottom w:type="dxa" w:w="70"/>
              <w:right w:type="dxa" w:w="120"/>
            </w:tcMar>
          </w:tcPr>
          <w:p>
            <w:r>
              <w:rPr>
                <w:rFonts w:ascii="Arial" w:cs="Arial" w:eastAsia="Arial" w:hAnsi="Arial"/>
                <w:b/>
                <w:bCs/>
                <w:color w:val="FFFFFF"/>
                <w:sz w:val="19"/>
                <w:szCs w:val="19"/>
              </w:rPr>
              <w:t xml:space="preserve">Accountant</w:t>
            </w:r>
          </w:p>
        </w:tc>
        <w:tc>
          <w:tcPr>
            <w:tcW w:type="dxa" w:w="1440"/>
            <w:tcBorders>
              <w:top w:val="single" w:color="DDD6FE" w:sz="4"/>
              <w:left w:val="single" w:color="DDD6FE" w:sz="4"/>
              <w:bottom w:val="single" w:color="DDD6FE" w:sz="4"/>
              <w:right w:val="single" w:color="DDD6FE" w:sz="4"/>
            </w:tcBorders>
            <w:shd w:fill="2D1B6B" w:val="clear"/>
            <w:tcMar>
              <w:top w:type="dxa" w:w="70"/>
              <w:left w:type="dxa" w:w="120"/>
              <w:bottom w:type="dxa" w:w="70"/>
              <w:right w:type="dxa" w:w="120"/>
            </w:tcMar>
          </w:tcPr>
          <w:p>
            <w:r>
              <w:rPr>
                <w:rFonts w:ascii="Arial" w:cs="Arial" w:eastAsia="Arial" w:hAnsi="Arial"/>
                <w:b/>
                <w:bCs/>
                <w:color w:val="FFFFFF"/>
                <w:sz w:val="19"/>
                <w:szCs w:val="19"/>
              </w:rPr>
              <w:t xml:space="preserve">Viewer</w:t>
            </w:r>
          </w:p>
        </w:tc>
        <w:tc>
          <w:tcPr>
            <w:tcW w:type="dxa" w:w="2440"/>
            <w:tcBorders>
              <w:top w:val="single" w:color="DDD6FE" w:sz="4"/>
              <w:left w:val="single" w:color="DDD6FE" w:sz="4"/>
              <w:bottom w:val="single" w:color="DDD6FE" w:sz="4"/>
              <w:right w:val="single" w:color="DDD6FE" w:sz="4"/>
            </w:tcBorders>
            <w:shd w:fill="2D1B6B" w:val="clear"/>
            <w:tcMar>
              <w:top w:type="dxa" w:w="70"/>
              <w:left w:type="dxa" w:w="120"/>
              <w:bottom w:type="dxa" w:w="70"/>
              <w:right w:type="dxa" w:w="120"/>
            </w:tcMar>
          </w:tcPr>
          <w:p>
            <w:r>
              <w:rPr>
                <w:rFonts w:ascii="Arial" w:cs="Arial" w:eastAsia="Arial" w:hAnsi="Arial"/>
                <w:b/>
                <w:bCs/>
                <w:color w:val="FFFFFF"/>
                <w:sz w:val="19"/>
                <w:szCs w:val="19"/>
              </w:rPr>
              <w:t xml:space="preserve">Notes</w:t>
            </w:r>
          </w:p>
        </w:tc>
      </w:tr>
      <w:tr>
        <w:trPr>
          <w:tblHeader w:val="false"/>
        </w:trPr>
        <w:tc>
          <w:tcPr>
            <w:tcW w:type="dxa" w:w="2600"/>
            <w:tcBorders>
              <w:top w:val="single" w:color="DDD6FE" w:sz="4"/>
              <w:left w:val="single" w:color="DDD6FE" w:sz="4"/>
              <w:bottom w:val="single" w:color="DDD6FE" w:sz="4"/>
              <w:right w:val="single" w:color="DDD6FE" w:sz="4"/>
            </w:tcBorders>
            <w:shd w:fill="EDE9FE" w:val="clear"/>
            <w:tcMar>
              <w:top w:type="dxa" w:w="70"/>
              <w:left w:type="dxa" w:w="120"/>
              <w:bottom w:type="dxa" w:w="70"/>
              <w:right w:type="dxa" w:w="120"/>
            </w:tcMar>
          </w:tcPr>
          <w:p>
            <w:r>
              <w:rPr>
                <w:rFonts w:ascii="Arial" w:cs="Arial" w:eastAsia="Arial" w:hAnsi="Arial"/>
                <w:b w:val="false"/>
                <w:bCs w:val="false"/>
                <w:color w:val="1E1B2E"/>
                <w:sz w:val="19"/>
                <w:szCs w:val="19"/>
              </w:rPr>
              <w:t xml:space="preserve">Create Invoice</w:t>
            </w:r>
          </w:p>
        </w:tc>
        <w:tc>
          <w:tcPr>
            <w:tcW w:type="dxa" w:w="1440"/>
            <w:tcBorders>
              <w:top w:val="single" w:color="DDD6FE" w:sz="4"/>
              <w:left w:val="single" w:color="DDD6FE" w:sz="4"/>
              <w:bottom w:val="single" w:color="DDD6FE" w:sz="4"/>
              <w:right w:val="single" w:color="DDD6FE" w:sz="4"/>
            </w:tcBorders>
            <w:shd w:fill="F8F7FF" w:val="clear"/>
            <w:tcMar>
              <w:top w:type="dxa" w:w="70"/>
              <w:left w:type="dxa" w:w="120"/>
              <w:bottom w:type="dxa" w:w="70"/>
              <w:right w:type="dxa" w:w="120"/>
            </w:tcMar>
          </w:tcPr>
          <w:p>
            <w:r>
              <w:rPr>
                <w:rFonts w:ascii="Arial" w:cs="Arial" w:eastAsia="Arial" w:hAnsi="Arial"/>
                <w:b w:val="false"/>
                <w:bCs w:val="false"/>
                <w:color w:val="065F46"/>
                <w:sz w:val="19"/>
                <w:szCs w:val="19"/>
              </w:rPr>
              <w:t xml:space="preserve">✓</w:t>
            </w:r>
          </w:p>
        </w:tc>
        <w:tc>
          <w:tcPr>
            <w:tcW w:type="dxa" w:w="1440"/>
            <w:tcBorders>
              <w:top w:val="single" w:color="DDD6FE" w:sz="4"/>
              <w:left w:val="single" w:color="DDD6FE" w:sz="4"/>
              <w:bottom w:val="single" w:color="DDD6FE" w:sz="4"/>
              <w:right w:val="single" w:color="DDD6FE" w:sz="4"/>
            </w:tcBorders>
            <w:shd w:fill="F8F7FF" w:val="clear"/>
            <w:tcMar>
              <w:top w:type="dxa" w:w="70"/>
              <w:left w:type="dxa" w:w="120"/>
              <w:bottom w:type="dxa" w:w="70"/>
              <w:right w:type="dxa" w:w="120"/>
            </w:tcMar>
          </w:tcPr>
          <w:p>
            <w:r>
              <w:rPr>
                <w:rFonts w:ascii="Arial" w:cs="Arial" w:eastAsia="Arial" w:hAnsi="Arial"/>
                <w:b w:val="false"/>
                <w:bCs w:val="false"/>
                <w:color w:val="065F46"/>
                <w:sz w:val="19"/>
                <w:szCs w:val="19"/>
              </w:rPr>
              <w:t xml:space="preserve">✓</w:t>
            </w:r>
          </w:p>
        </w:tc>
        <w:tc>
          <w:tcPr>
            <w:tcW w:type="dxa" w:w="1440"/>
            <w:tcBorders>
              <w:top w:val="single" w:color="DDD6FE" w:sz="4"/>
              <w:left w:val="single" w:color="DDD6FE" w:sz="4"/>
              <w:bottom w:val="single" w:color="DDD6FE" w:sz="4"/>
              <w:right w:val="single" w:color="DDD6FE" w:sz="4"/>
            </w:tcBorders>
            <w:shd w:fill="F8F7FF" w:val="clear"/>
            <w:tcMar>
              <w:top w:type="dxa" w:w="70"/>
              <w:left w:type="dxa" w:w="120"/>
              <w:bottom w:type="dxa" w:w="70"/>
              <w:right w:type="dxa" w:w="120"/>
            </w:tcMar>
          </w:tcPr>
          <w:p>
            <w:r>
              <w:rPr>
                <w:rFonts w:ascii="Arial" w:cs="Arial" w:eastAsia="Arial" w:hAnsi="Arial"/>
                <w:b w:val="false"/>
                <w:bCs w:val="false"/>
                <w:color w:val="DC2626"/>
                <w:sz w:val="19"/>
                <w:szCs w:val="19"/>
              </w:rPr>
              <w:t xml:space="preserve">✗</w:t>
            </w:r>
          </w:p>
        </w:tc>
        <w:tc>
          <w:tcPr>
            <w:tcW w:type="dxa" w:w="2440"/>
            <w:tcBorders>
              <w:top w:val="single" w:color="DDD6FE" w:sz="4"/>
              <w:left w:val="single" w:color="DDD6FE" w:sz="4"/>
              <w:bottom w:val="single" w:color="DDD6FE" w:sz="4"/>
              <w:right w:val="single" w:color="DDD6FE" w:sz="4"/>
            </w:tcBorders>
            <w:shd w:fill="F8F7FF" w:val="clear"/>
            <w:tcMar>
              <w:top w:type="dxa" w:w="70"/>
              <w:left w:type="dxa" w:w="120"/>
              <w:bottom w:type="dxa" w:w="70"/>
              <w:right w:type="dxa" w:w="120"/>
            </w:tcMar>
          </w:tcPr>
          <w:p>
            <w:r>
              <w:rPr>
                <w:rFonts w:ascii="Arial" w:cs="Arial" w:eastAsia="Arial" w:hAnsi="Arial"/>
                <w:b w:val="false"/>
                <w:bCs w:val="false"/>
                <w:color w:val="1E1B2E"/>
                <w:sz w:val="19"/>
                <w:szCs w:val="19"/>
              </w:rPr>
              <w:t xml:space="preserve"/>
            </w:r>
          </w:p>
        </w:tc>
      </w:tr>
      <w:tr>
        <w:trPr>
          <w:tblHeader w:val="false"/>
        </w:trPr>
        <w:tc>
          <w:tcPr>
            <w:tcW w:type="dxa" w:w="2600"/>
            <w:tcBorders>
              <w:top w:val="single" w:color="DDD6FE" w:sz="4"/>
              <w:left w:val="single" w:color="DDD6FE" w:sz="4"/>
              <w:bottom w:val="single" w:color="DDD6FE" w:sz="4"/>
              <w:right w:val="single" w:color="DDD6FE" w:sz="4"/>
            </w:tcBorders>
            <w:shd w:fill="EDE9FE" w:val="clear"/>
            <w:tcMar>
              <w:top w:type="dxa" w:w="70"/>
              <w:left w:type="dxa" w:w="120"/>
              <w:bottom w:type="dxa" w:w="70"/>
              <w:right w:type="dxa" w:w="120"/>
            </w:tcMar>
          </w:tcPr>
          <w:p>
            <w:r>
              <w:rPr>
                <w:rFonts w:ascii="Arial" w:cs="Arial" w:eastAsia="Arial" w:hAnsi="Arial"/>
                <w:b w:val="false"/>
                <w:bCs w:val="false"/>
                <w:color w:val="1E1B2E"/>
                <w:sz w:val="19"/>
                <w:szCs w:val="19"/>
              </w:rPr>
              <w:t xml:space="preserve">Edit Invoice (pre-payment)</w:t>
            </w:r>
          </w:p>
        </w:tc>
        <w:tc>
          <w:tcPr>
            <w:tcW w:type="dxa" w:w="1440"/>
            <w:tcBorders>
              <w:top w:val="single" w:color="DDD6FE" w:sz="4"/>
              <w:left w:val="single" w:color="DDD6FE" w:sz="4"/>
              <w:bottom w:val="single" w:color="DDD6FE" w:sz="4"/>
              <w:right w:val="single" w:color="DDD6FE" w:sz="4"/>
            </w:tcBorders>
            <w:shd w:fill="FFFFFF" w:val="clear"/>
            <w:tcMar>
              <w:top w:type="dxa" w:w="70"/>
              <w:left w:type="dxa" w:w="120"/>
              <w:bottom w:type="dxa" w:w="70"/>
              <w:right w:type="dxa" w:w="120"/>
            </w:tcMar>
          </w:tcPr>
          <w:p>
            <w:r>
              <w:rPr>
                <w:rFonts w:ascii="Arial" w:cs="Arial" w:eastAsia="Arial" w:hAnsi="Arial"/>
                <w:b w:val="false"/>
                <w:bCs w:val="false"/>
                <w:color w:val="065F46"/>
                <w:sz w:val="19"/>
                <w:szCs w:val="19"/>
              </w:rPr>
              <w:t xml:space="preserve">✓</w:t>
            </w:r>
          </w:p>
        </w:tc>
        <w:tc>
          <w:tcPr>
            <w:tcW w:type="dxa" w:w="1440"/>
            <w:tcBorders>
              <w:top w:val="single" w:color="DDD6FE" w:sz="4"/>
              <w:left w:val="single" w:color="DDD6FE" w:sz="4"/>
              <w:bottom w:val="single" w:color="DDD6FE" w:sz="4"/>
              <w:right w:val="single" w:color="DDD6FE" w:sz="4"/>
            </w:tcBorders>
            <w:shd w:fill="FFFFFF" w:val="clear"/>
            <w:tcMar>
              <w:top w:type="dxa" w:w="70"/>
              <w:left w:type="dxa" w:w="120"/>
              <w:bottom w:type="dxa" w:w="70"/>
              <w:right w:type="dxa" w:w="120"/>
            </w:tcMar>
          </w:tcPr>
          <w:p>
            <w:r>
              <w:rPr>
                <w:rFonts w:ascii="Arial" w:cs="Arial" w:eastAsia="Arial" w:hAnsi="Arial"/>
                <w:b w:val="false"/>
                <w:bCs w:val="false"/>
                <w:color w:val="065F46"/>
                <w:sz w:val="19"/>
                <w:szCs w:val="19"/>
              </w:rPr>
              <w:t xml:space="preserve">✓</w:t>
            </w:r>
          </w:p>
        </w:tc>
        <w:tc>
          <w:tcPr>
            <w:tcW w:type="dxa" w:w="1440"/>
            <w:tcBorders>
              <w:top w:val="single" w:color="DDD6FE" w:sz="4"/>
              <w:left w:val="single" w:color="DDD6FE" w:sz="4"/>
              <w:bottom w:val="single" w:color="DDD6FE" w:sz="4"/>
              <w:right w:val="single" w:color="DDD6FE" w:sz="4"/>
            </w:tcBorders>
            <w:shd w:fill="FFFFFF" w:val="clear"/>
            <w:tcMar>
              <w:top w:type="dxa" w:w="70"/>
              <w:left w:type="dxa" w:w="120"/>
              <w:bottom w:type="dxa" w:w="70"/>
              <w:right w:type="dxa" w:w="120"/>
            </w:tcMar>
          </w:tcPr>
          <w:p>
            <w:r>
              <w:rPr>
                <w:rFonts w:ascii="Arial" w:cs="Arial" w:eastAsia="Arial" w:hAnsi="Arial"/>
                <w:b w:val="false"/>
                <w:bCs w:val="false"/>
                <w:color w:val="DC2626"/>
                <w:sz w:val="19"/>
                <w:szCs w:val="19"/>
              </w:rPr>
              <w:t xml:space="preserve">✗</w:t>
            </w:r>
          </w:p>
        </w:tc>
        <w:tc>
          <w:tcPr>
            <w:tcW w:type="dxa" w:w="2440"/>
            <w:tcBorders>
              <w:top w:val="single" w:color="DDD6FE" w:sz="4"/>
              <w:left w:val="single" w:color="DDD6FE" w:sz="4"/>
              <w:bottom w:val="single" w:color="DDD6FE" w:sz="4"/>
              <w:right w:val="single" w:color="DDD6FE" w:sz="4"/>
            </w:tcBorders>
            <w:shd w:fill="FFFFFF" w:val="clear"/>
            <w:tcMar>
              <w:top w:type="dxa" w:w="70"/>
              <w:left w:type="dxa" w:w="120"/>
              <w:bottom w:type="dxa" w:w="70"/>
              <w:right w:type="dxa" w:w="120"/>
            </w:tcMar>
          </w:tcPr>
          <w:p>
            <w:r>
              <w:rPr>
                <w:rFonts w:ascii="Arial" w:cs="Arial" w:eastAsia="Arial" w:hAnsi="Arial"/>
                <w:b w:val="false"/>
                <w:bCs w:val="false"/>
                <w:color w:val="1E1B2E"/>
                <w:sz w:val="19"/>
                <w:szCs w:val="19"/>
              </w:rPr>
              <w:t xml:space="preserve">Edits locked once any payment received</w:t>
            </w:r>
          </w:p>
        </w:tc>
      </w:tr>
      <w:tr>
        <w:trPr>
          <w:tblHeader w:val="false"/>
        </w:trPr>
        <w:tc>
          <w:tcPr>
            <w:tcW w:type="dxa" w:w="2600"/>
            <w:tcBorders>
              <w:top w:val="single" w:color="DDD6FE" w:sz="4"/>
              <w:left w:val="single" w:color="DDD6FE" w:sz="4"/>
              <w:bottom w:val="single" w:color="DDD6FE" w:sz="4"/>
              <w:right w:val="single" w:color="DDD6FE" w:sz="4"/>
            </w:tcBorders>
            <w:shd w:fill="EDE9FE" w:val="clear"/>
            <w:tcMar>
              <w:top w:type="dxa" w:w="70"/>
              <w:left w:type="dxa" w:w="120"/>
              <w:bottom w:type="dxa" w:w="70"/>
              <w:right w:type="dxa" w:w="120"/>
            </w:tcMar>
          </w:tcPr>
          <w:p>
            <w:r>
              <w:rPr>
                <w:rFonts w:ascii="Arial" w:cs="Arial" w:eastAsia="Arial" w:hAnsi="Arial"/>
                <w:b w:val="false"/>
                <w:bCs w:val="false"/>
                <w:color w:val="1E1B2E"/>
                <w:sz w:val="19"/>
                <w:szCs w:val="19"/>
              </w:rPr>
              <w:t xml:space="preserve">Void Invoice</w:t>
            </w:r>
          </w:p>
        </w:tc>
        <w:tc>
          <w:tcPr>
            <w:tcW w:type="dxa" w:w="1440"/>
            <w:tcBorders>
              <w:top w:val="single" w:color="DDD6FE" w:sz="4"/>
              <w:left w:val="single" w:color="DDD6FE" w:sz="4"/>
              <w:bottom w:val="single" w:color="DDD6FE" w:sz="4"/>
              <w:right w:val="single" w:color="DDD6FE" w:sz="4"/>
            </w:tcBorders>
            <w:shd w:fill="F8F7FF" w:val="clear"/>
            <w:tcMar>
              <w:top w:type="dxa" w:w="70"/>
              <w:left w:type="dxa" w:w="120"/>
              <w:bottom w:type="dxa" w:w="70"/>
              <w:right w:type="dxa" w:w="120"/>
            </w:tcMar>
          </w:tcPr>
          <w:p>
            <w:r>
              <w:rPr>
                <w:rFonts w:ascii="Arial" w:cs="Arial" w:eastAsia="Arial" w:hAnsi="Arial"/>
                <w:b w:val="false"/>
                <w:bCs w:val="false"/>
                <w:color w:val="065F46"/>
                <w:sz w:val="19"/>
                <w:szCs w:val="19"/>
              </w:rPr>
              <w:t xml:space="preserve">✓</w:t>
            </w:r>
          </w:p>
        </w:tc>
        <w:tc>
          <w:tcPr>
            <w:tcW w:type="dxa" w:w="1440"/>
            <w:tcBorders>
              <w:top w:val="single" w:color="DDD6FE" w:sz="4"/>
              <w:left w:val="single" w:color="DDD6FE" w:sz="4"/>
              <w:bottom w:val="single" w:color="DDD6FE" w:sz="4"/>
              <w:right w:val="single" w:color="DDD6FE" w:sz="4"/>
            </w:tcBorders>
            <w:shd w:fill="F8F7FF" w:val="clear"/>
            <w:tcMar>
              <w:top w:type="dxa" w:w="70"/>
              <w:left w:type="dxa" w:w="120"/>
              <w:bottom w:type="dxa" w:w="70"/>
              <w:right w:type="dxa" w:w="120"/>
            </w:tcMar>
          </w:tcPr>
          <w:p>
            <w:r>
              <w:rPr>
                <w:rFonts w:ascii="Arial" w:cs="Arial" w:eastAsia="Arial" w:hAnsi="Arial"/>
                <w:b w:val="false"/>
                <w:bCs w:val="false"/>
                <w:color w:val="DC2626"/>
                <w:sz w:val="19"/>
                <w:szCs w:val="19"/>
              </w:rPr>
              <w:t xml:space="preserve">✗</w:t>
            </w:r>
          </w:p>
        </w:tc>
        <w:tc>
          <w:tcPr>
            <w:tcW w:type="dxa" w:w="1440"/>
            <w:tcBorders>
              <w:top w:val="single" w:color="DDD6FE" w:sz="4"/>
              <w:left w:val="single" w:color="DDD6FE" w:sz="4"/>
              <w:bottom w:val="single" w:color="DDD6FE" w:sz="4"/>
              <w:right w:val="single" w:color="DDD6FE" w:sz="4"/>
            </w:tcBorders>
            <w:shd w:fill="F8F7FF" w:val="clear"/>
            <w:tcMar>
              <w:top w:type="dxa" w:w="70"/>
              <w:left w:type="dxa" w:w="120"/>
              <w:bottom w:type="dxa" w:w="70"/>
              <w:right w:type="dxa" w:w="120"/>
            </w:tcMar>
          </w:tcPr>
          <w:p>
            <w:r>
              <w:rPr>
                <w:rFonts w:ascii="Arial" w:cs="Arial" w:eastAsia="Arial" w:hAnsi="Arial"/>
                <w:b w:val="false"/>
                <w:bCs w:val="false"/>
                <w:color w:val="DC2626"/>
                <w:sz w:val="19"/>
                <w:szCs w:val="19"/>
              </w:rPr>
              <w:t xml:space="preserve">✗</w:t>
            </w:r>
          </w:p>
        </w:tc>
        <w:tc>
          <w:tcPr>
            <w:tcW w:type="dxa" w:w="2440"/>
            <w:tcBorders>
              <w:top w:val="single" w:color="DDD6FE" w:sz="4"/>
              <w:left w:val="single" w:color="DDD6FE" w:sz="4"/>
              <w:bottom w:val="single" w:color="DDD6FE" w:sz="4"/>
              <w:right w:val="single" w:color="DDD6FE" w:sz="4"/>
            </w:tcBorders>
            <w:shd w:fill="F8F7FF" w:val="clear"/>
            <w:tcMar>
              <w:top w:type="dxa" w:w="70"/>
              <w:left w:type="dxa" w:w="120"/>
              <w:bottom w:type="dxa" w:w="70"/>
              <w:right w:type="dxa" w:w="120"/>
            </w:tcMar>
          </w:tcPr>
          <w:p>
            <w:r>
              <w:rPr>
                <w:rFonts w:ascii="Arial" w:cs="Arial" w:eastAsia="Arial" w:hAnsi="Arial"/>
                <w:b w:val="false"/>
                <w:bCs w:val="false"/>
                <w:color w:val="1E1B2E"/>
                <w:sz w:val="19"/>
                <w:szCs w:val="19"/>
              </w:rPr>
              <w:t xml:space="preserve">Owner-only. Requires mandatory reason.</w:t>
            </w:r>
          </w:p>
        </w:tc>
      </w:tr>
      <w:tr>
        <w:trPr>
          <w:tblHeader w:val="false"/>
        </w:trPr>
        <w:tc>
          <w:tcPr>
            <w:tcW w:type="dxa" w:w="2600"/>
            <w:tcBorders>
              <w:top w:val="single" w:color="DDD6FE" w:sz="4"/>
              <w:left w:val="single" w:color="DDD6FE" w:sz="4"/>
              <w:bottom w:val="single" w:color="DDD6FE" w:sz="4"/>
              <w:right w:val="single" w:color="DDD6FE" w:sz="4"/>
            </w:tcBorders>
            <w:shd w:fill="EDE9FE" w:val="clear"/>
            <w:tcMar>
              <w:top w:type="dxa" w:w="70"/>
              <w:left w:type="dxa" w:w="120"/>
              <w:bottom w:type="dxa" w:w="70"/>
              <w:right w:type="dxa" w:w="120"/>
            </w:tcMar>
          </w:tcPr>
          <w:p>
            <w:r>
              <w:rPr>
                <w:rFonts w:ascii="Arial" w:cs="Arial" w:eastAsia="Arial" w:hAnsi="Arial"/>
                <w:b w:val="false"/>
                <w:bCs w:val="false"/>
                <w:color w:val="1E1B2E"/>
                <w:sz w:val="19"/>
                <w:szCs w:val="19"/>
              </w:rPr>
              <w:t xml:space="preserve">Manual Invoice Close</w:t>
            </w:r>
          </w:p>
        </w:tc>
        <w:tc>
          <w:tcPr>
            <w:tcW w:type="dxa" w:w="1440"/>
            <w:tcBorders>
              <w:top w:val="single" w:color="DDD6FE" w:sz="4"/>
              <w:left w:val="single" w:color="DDD6FE" w:sz="4"/>
              <w:bottom w:val="single" w:color="DDD6FE" w:sz="4"/>
              <w:right w:val="single" w:color="DDD6FE" w:sz="4"/>
            </w:tcBorders>
            <w:shd w:fill="FFFFFF" w:val="clear"/>
            <w:tcMar>
              <w:top w:type="dxa" w:w="70"/>
              <w:left w:type="dxa" w:w="120"/>
              <w:bottom w:type="dxa" w:w="70"/>
              <w:right w:type="dxa" w:w="120"/>
            </w:tcMar>
          </w:tcPr>
          <w:p>
            <w:r>
              <w:rPr>
                <w:rFonts w:ascii="Arial" w:cs="Arial" w:eastAsia="Arial" w:hAnsi="Arial"/>
                <w:b w:val="false"/>
                <w:bCs w:val="false"/>
                <w:color w:val="065F46"/>
                <w:sz w:val="19"/>
                <w:szCs w:val="19"/>
              </w:rPr>
              <w:t xml:space="preserve">✓</w:t>
            </w:r>
          </w:p>
        </w:tc>
        <w:tc>
          <w:tcPr>
            <w:tcW w:type="dxa" w:w="1440"/>
            <w:tcBorders>
              <w:top w:val="single" w:color="DDD6FE" w:sz="4"/>
              <w:left w:val="single" w:color="DDD6FE" w:sz="4"/>
              <w:bottom w:val="single" w:color="DDD6FE" w:sz="4"/>
              <w:right w:val="single" w:color="DDD6FE" w:sz="4"/>
            </w:tcBorders>
            <w:shd w:fill="FFFFFF" w:val="clear"/>
            <w:tcMar>
              <w:top w:type="dxa" w:w="70"/>
              <w:left w:type="dxa" w:w="120"/>
              <w:bottom w:type="dxa" w:w="70"/>
              <w:right w:type="dxa" w:w="120"/>
            </w:tcMar>
          </w:tcPr>
          <w:p>
            <w:r>
              <w:rPr>
                <w:rFonts w:ascii="Arial" w:cs="Arial" w:eastAsia="Arial" w:hAnsi="Arial"/>
                <w:b w:val="false"/>
                <w:bCs w:val="false"/>
                <w:color w:val="DC2626"/>
                <w:sz w:val="19"/>
                <w:szCs w:val="19"/>
              </w:rPr>
              <w:t xml:space="preserve">✗</w:t>
            </w:r>
          </w:p>
        </w:tc>
        <w:tc>
          <w:tcPr>
            <w:tcW w:type="dxa" w:w="1440"/>
            <w:tcBorders>
              <w:top w:val="single" w:color="DDD6FE" w:sz="4"/>
              <w:left w:val="single" w:color="DDD6FE" w:sz="4"/>
              <w:bottom w:val="single" w:color="DDD6FE" w:sz="4"/>
              <w:right w:val="single" w:color="DDD6FE" w:sz="4"/>
            </w:tcBorders>
            <w:shd w:fill="FFFFFF" w:val="clear"/>
            <w:tcMar>
              <w:top w:type="dxa" w:w="70"/>
              <w:left w:type="dxa" w:w="120"/>
              <w:bottom w:type="dxa" w:w="70"/>
              <w:right w:type="dxa" w:w="120"/>
            </w:tcMar>
          </w:tcPr>
          <w:p>
            <w:r>
              <w:rPr>
                <w:rFonts w:ascii="Arial" w:cs="Arial" w:eastAsia="Arial" w:hAnsi="Arial"/>
                <w:b w:val="false"/>
                <w:bCs w:val="false"/>
                <w:color w:val="DC2626"/>
                <w:sz w:val="19"/>
                <w:szCs w:val="19"/>
              </w:rPr>
              <w:t xml:space="preserve">✗</w:t>
            </w:r>
          </w:p>
        </w:tc>
        <w:tc>
          <w:tcPr>
            <w:tcW w:type="dxa" w:w="2440"/>
            <w:tcBorders>
              <w:top w:val="single" w:color="DDD6FE" w:sz="4"/>
              <w:left w:val="single" w:color="DDD6FE" w:sz="4"/>
              <w:bottom w:val="single" w:color="DDD6FE" w:sz="4"/>
              <w:right w:val="single" w:color="DDD6FE" w:sz="4"/>
            </w:tcBorders>
            <w:shd w:fill="FFFFFF" w:val="clear"/>
            <w:tcMar>
              <w:top w:type="dxa" w:w="70"/>
              <w:left w:type="dxa" w:w="120"/>
              <w:bottom w:type="dxa" w:w="70"/>
              <w:right w:type="dxa" w:w="120"/>
            </w:tcMar>
          </w:tcPr>
          <w:p>
            <w:r>
              <w:rPr>
                <w:rFonts w:ascii="Arial" w:cs="Arial" w:eastAsia="Arial" w:hAnsi="Arial"/>
                <w:b w:val="false"/>
                <w:bCs w:val="false"/>
                <w:color w:val="1E1B2E"/>
                <w:sz w:val="19"/>
                <w:szCs w:val="19"/>
              </w:rPr>
              <w:t xml:space="preserve">Owner-only. High-stakes, audit-logged.</w:t>
            </w:r>
          </w:p>
        </w:tc>
      </w:tr>
      <w:tr>
        <w:trPr>
          <w:tblHeader w:val="false"/>
        </w:trPr>
        <w:tc>
          <w:tcPr>
            <w:tcW w:type="dxa" w:w="2600"/>
            <w:tcBorders>
              <w:top w:val="single" w:color="DDD6FE" w:sz="4"/>
              <w:left w:val="single" w:color="DDD6FE" w:sz="4"/>
              <w:bottom w:val="single" w:color="DDD6FE" w:sz="4"/>
              <w:right w:val="single" w:color="DDD6FE" w:sz="4"/>
            </w:tcBorders>
            <w:shd w:fill="EDE9FE" w:val="clear"/>
            <w:tcMar>
              <w:top w:type="dxa" w:w="70"/>
              <w:left w:type="dxa" w:w="120"/>
              <w:bottom w:type="dxa" w:w="70"/>
              <w:right w:type="dxa" w:w="120"/>
            </w:tcMar>
          </w:tcPr>
          <w:p>
            <w:r>
              <w:rPr>
                <w:rFonts w:ascii="Arial" w:cs="Arial" w:eastAsia="Arial" w:hAnsi="Arial"/>
                <w:b w:val="false"/>
                <w:bCs w:val="false"/>
                <w:color w:val="1E1B2E"/>
                <w:sz w:val="19"/>
                <w:szCs w:val="19"/>
              </w:rPr>
              <w:t xml:space="preserve">View All Invoices</w:t>
            </w:r>
          </w:p>
        </w:tc>
        <w:tc>
          <w:tcPr>
            <w:tcW w:type="dxa" w:w="1440"/>
            <w:tcBorders>
              <w:top w:val="single" w:color="DDD6FE" w:sz="4"/>
              <w:left w:val="single" w:color="DDD6FE" w:sz="4"/>
              <w:bottom w:val="single" w:color="DDD6FE" w:sz="4"/>
              <w:right w:val="single" w:color="DDD6FE" w:sz="4"/>
            </w:tcBorders>
            <w:shd w:fill="F8F7FF" w:val="clear"/>
            <w:tcMar>
              <w:top w:type="dxa" w:w="70"/>
              <w:left w:type="dxa" w:w="120"/>
              <w:bottom w:type="dxa" w:w="70"/>
              <w:right w:type="dxa" w:w="120"/>
            </w:tcMar>
          </w:tcPr>
          <w:p>
            <w:r>
              <w:rPr>
                <w:rFonts w:ascii="Arial" w:cs="Arial" w:eastAsia="Arial" w:hAnsi="Arial"/>
                <w:b w:val="false"/>
                <w:bCs w:val="false"/>
                <w:color w:val="065F46"/>
                <w:sz w:val="19"/>
                <w:szCs w:val="19"/>
              </w:rPr>
              <w:t xml:space="preserve">✓</w:t>
            </w:r>
          </w:p>
        </w:tc>
        <w:tc>
          <w:tcPr>
            <w:tcW w:type="dxa" w:w="1440"/>
            <w:tcBorders>
              <w:top w:val="single" w:color="DDD6FE" w:sz="4"/>
              <w:left w:val="single" w:color="DDD6FE" w:sz="4"/>
              <w:bottom w:val="single" w:color="DDD6FE" w:sz="4"/>
              <w:right w:val="single" w:color="DDD6FE" w:sz="4"/>
            </w:tcBorders>
            <w:shd w:fill="F8F7FF" w:val="clear"/>
            <w:tcMar>
              <w:top w:type="dxa" w:w="70"/>
              <w:left w:type="dxa" w:w="120"/>
              <w:bottom w:type="dxa" w:w="70"/>
              <w:right w:type="dxa" w:w="120"/>
            </w:tcMar>
          </w:tcPr>
          <w:p>
            <w:r>
              <w:rPr>
                <w:rFonts w:ascii="Arial" w:cs="Arial" w:eastAsia="Arial" w:hAnsi="Arial"/>
                <w:b w:val="false"/>
                <w:bCs w:val="false"/>
                <w:color w:val="065F46"/>
                <w:sz w:val="19"/>
                <w:szCs w:val="19"/>
              </w:rPr>
              <w:t xml:space="preserve">✓</w:t>
            </w:r>
          </w:p>
        </w:tc>
        <w:tc>
          <w:tcPr>
            <w:tcW w:type="dxa" w:w="1440"/>
            <w:tcBorders>
              <w:top w:val="single" w:color="DDD6FE" w:sz="4"/>
              <w:left w:val="single" w:color="DDD6FE" w:sz="4"/>
              <w:bottom w:val="single" w:color="DDD6FE" w:sz="4"/>
              <w:right w:val="single" w:color="DDD6FE" w:sz="4"/>
            </w:tcBorders>
            <w:shd w:fill="F8F7FF" w:val="clear"/>
            <w:tcMar>
              <w:top w:type="dxa" w:w="70"/>
              <w:left w:type="dxa" w:w="120"/>
              <w:bottom w:type="dxa" w:w="70"/>
              <w:right w:type="dxa" w:w="120"/>
            </w:tcMar>
          </w:tcPr>
          <w:p>
            <w:r>
              <w:rPr>
                <w:rFonts w:ascii="Arial" w:cs="Arial" w:eastAsia="Arial" w:hAnsi="Arial"/>
                <w:b w:val="false"/>
                <w:bCs w:val="false"/>
                <w:color w:val="065F46"/>
                <w:sz w:val="19"/>
                <w:szCs w:val="19"/>
              </w:rPr>
              <w:t xml:space="preserve">✓</w:t>
            </w:r>
          </w:p>
        </w:tc>
        <w:tc>
          <w:tcPr>
            <w:tcW w:type="dxa" w:w="2440"/>
            <w:tcBorders>
              <w:top w:val="single" w:color="DDD6FE" w:sz="4"/>
              <w:left w:val="single" w:color="DDD6FE" w:sz="4"/>
              <w:bottom w:val="single" w:color="DDD6FE" w:sz="4"/>
              <w:right w:val="single" w:color="DDD6FE" w:sz="4"/>
            </w:tcBorders>
            <w:shd w:fill="F8F7FF" w:val="clear"/>
            <w:tcMar>
              <w:top w:type="dxa" w:w="70"/>
              <w:left w:type="dxa" w:w="120"/>
              <w:bottom w:type="dxa" w:w="70"/>
              <w:right w:type="dxa" w:w="120"/>
            </w:tcMar>
          </w:tcPr>
          <w:p>
            <w:r>
              <w:rPr>
                <w:rFonts w:ascii="Arial" w:cs="Arial" w:eastAsia="Arial" w:hAnsi="Arial"/>
                <w:b w:val="false"/>
                <w:bCs w:val="false"/>
                <w:color w:val="1E1B2E"/>
                <w:sz w:val="19"/>
                <w:szCs w:val="19"/>
              </w:rPr>
              <w:t xml:space="preserve"/>
            </w:r>
          </w:p>
        </w:tc>
      </w:tr>
      <w:tr>
        <w:trPr>
          <w:tblHeader w:val="false"/>
        </w:trPr>
        <w:tc>
          <w:tcPr>
            <w:tcW w:type="dxa" w:w="2600"/>
            <w:tcBorders>
              <w:top w:val="single" w:color="DDD6FE" w:sz="4"/>
              <w:left w:val="single" w:color="DDD6FE" w:sz="4"/>
              <w:bottom w:val="single" w:color="DDD6FE" w:sz="4"/>
              <w:right w:val="single" w:color="DDD6FE" w:sz="4"/>
            </w:tcBorders>
            <w:shd w:fill="EDE9FE" w:val="clear"/>
            <w:tcMar>
              <w:top w:type="dxa" w:w="70"/>
              <w:left w:type="dxa" w:w="120"/>
              <w:bottom w:type="dxa" w:w="70"/>
              <w:right w:type="dxa" w:w="120"/>
            </w:tcMar>
          </w:tcPr>
          <w:p>
            <w:r>
              <w:rPr>
                <w:rFonts w:ascii="Arial" w:cs="Arial" w:eastAsia="Arial" w:hAnsi="Arial"/>
                <w:b w:val="false"/>
                <w:bCs w:val="false"/>
                <w:color w:val="1E1B2E"/>
                <w:sz w:val="19"/>
                <w:szCs w:val="19"/>
              </w:rPr>
              <w:t xml:space="preserve">View Financial Analytics</w:t>
            </w:r>
          </w:p>
        </w:tc>
        <w:tc>
          <w:tcPr>
            <w:tcW w:type="dxa" w:w="1440"/>
            <w:tcBorders>
              <w:top w:val="single" w:color="DDD6FE" w:sz="4"/>
              <w:left w:val="single" w:color="DDD6FE" w:sz="4"/>
              <w:bottom w:val="single" w:color="DDD6FE" w:sz="4"/>
              <w:right w:val="single" w:color="DDD6FE" w:sz="4"/>
            </w:tcBorders>
            <w:shd w:fill="FFFFFF" w:val="clear"/>
            <w:tcMar>
              <w:top w:type="dxa" w:w="70"/>
              <w:left w:type="dxa" w:w="120"/>
              <w:bottom w:type="dxa" w:w="70"/>
              <w:right w:type="dxa" w:w="120"/>
            </w:tcMar>
          </w:tcPr>
          <w:p>
            <w:r>
              <w:rPr>
                <w:rFonts w:ascii="Arial" w:cs="Arial" w:eastAsia="Arial" w:hAnsi="Arial"/>
                <w:b w:val="false"/>
                <w:bCs w:val="false"/>
                <w:color w:val="065F46"/>
                <w:sz w:val="19"/>
                <w:szCs w:val="19"/>
              </w:rPr>
              <w:t xml:space="preserve">✓</w:t>
            </w:r>
          </w:p>
        </w:tc>
        <w:tc>
          <w:tcPr>
            <w:tcW w:type="dxa" w:w="1440"/>
            <w:tcBorders>
              <w:top w:val="single" w:color="DDD6FE" w:sz="4"/>
              <w:left w:val="single" w:color="DDD6FE" w:sz="4"/>
              <w:bottom w:val="single" w:color="DDD6FE" w:sz="4"/>
              <w:right w:val="single" w:color="DDD6FE" w:sz="4"/>
            </w:tcBorders>
            <w:shd w:fill="FFFFFF" w:val="clear"/>
            <w:tcMar>
              <w:top w:type="dxa" w:w="70"/>
              <w:left w:type="dxa" w:w="120"/>
              <w:bottom w:type="dxa" w:w="70"/>
              <w:right w:type="dxa" w:w="120"/>
            </w:tcMar>
          </w:tcPr>
          <w:p>
            <w:r>
              <w:rPr>
                <w:rFonts w:ascii="Arial" w:cs="Arial" w:eastAsia="Arial" w:hAnsi="Arial"/>
                <w:b w:val="false"/>
                <w:bCs w:val="false"/>
                <w:color w:val="065F46"/>
                <w:sz w:val="19"/>
                <w:szCs w:val="19"/>
              </w:rPr>
              <w:t xml:space="preserve">✓</w:t>
            </w:r>
          </w:p>
        </w:tc>
        <w:tc>
          <w:tcPr>
            <w:tcW w:type="dxa" w:w="1440"/>
            <w:tcBorders>
              <w:top w:val="single" w:color="DDD6FE" w:sz="4"/>
              <w:left w:val="single" w:color="DDD6FE" w:sz="4"/>
              <w:bottom w:val="single" w:color="DDD6FE" w:sz="4"/>
              <w:right w:val="single" w:color="DDD6FE" w:sz="4"/>
            </w:tcBorders>
            <w:shd w:fill="FFFFFF" w:val="clear"/>
            <w:tcMar>
              <w:top w:type="dxa" w:w="70"/>
              <w:left w:type="dxa" w:w="120"/>
              <w:bottom w:type="dxa" w:w="70"/>
              <w:right w:type="dxa" w:w="120"/>
            </w:tcMar>
          </w:tcPr>
          <w:p>
            <w:r>
              <w:rPr>
                <w:rFonts w:ascii="Arial" w:cs="Arial" w:eastAsia="Arial" w:hAnsi="Arial"/>
                <w:b w:val="false"/>
                <w:bCs w:val="false"/>
                <w:color w:val="065F46"/>
                <w:sz w:val="19"/>
                <w:szCs w:val="19"/>
              </w:rPr>
              <w:t xml:space="preserve">✓</w:t>
            </w:r>
          </w:p>
        </w:tc>
        <w:tc>
          <w:tcPr>
            <w:tcW w:type="dxa" w:w="2440"/>
            <w:tcBorders>
              <w:top w:val="single" w:color="DDD6FE" w:sz="4"/>
              <w:left w:val="single" w:color="DDD6FE" w:sz="4"/>
              <w:bottom w:val="single" w:color="DDD6FE" w:sz="4"/>
              <w:right w:val="single" w:color="DDD6FE" w:sz="4"/>
            </w:tcBorders>
            <w:shd w:fill="FFFFFF" w:val="clear"/>
            <w:tcMar>
              <w:top w:type="dxa" w:w="70"/>
              <w:left w:type="dxa" w:w="120"/>
              <w:bottom w:type="dxa" w:w="70"/>
              <w:right w:type="dxa" w:w="120"/>
            </w:tcMar>
          </w:tcPr>
          <w:p>
            <w:r>
              <w:rPr>
                <w:rFonts w:ascii="Arial" w:cs="Arial" w:eastAsia="Arial" w:hAnsi="Arial"/>
                <w:b w:val="false"/>
                <w:bCs w:val="false"/>
                <w:color w:val="1E1B2E"/>
                <w:sz w:val="19"/>
                <w:szCs w:val="19"/>
              </w:rPr>
              <w:t xml:space="preserve">Aging Report, Collection vs. Inflow</w:t>
            </w:r>
          </w:p>
        </w:tc>
      </w:tr>
      <w:tr>
        <w:trPr>
          <w:tblHeader w:val="false"/>
        </w:trPr>
        <w:tc>
          <w:tcPr>
            <w:tcW w:type="dxa" w:w="2600"/>
            <w:tcBorders>
              <w:top w:val="single" w:color="DDD6FE" w:sz="4"/>
              <w:left w:val="single" w:color="DDD6FE" w:sz="4"/>
              <w:bottom w:val="single" w:color="DDD6FE" w:sz="4"/>
              <w:right w:val="single" w:color="DDD6FE" w:sz="4"/>
            </w:tcBorders>
            <w:shd w:fill="EDE9FE" w:val="clear"/>
            <w:tcMar>
              <w:top w:type="dxa" w:w="70"/>
              <w:left w:type="dxa" w:w="120"/>
              <w:bottom w:type="dxa" w:w="70"/>
              <w:right w:type="dxa" w:w="120"/>
            </w:tcMar>
          </w:tcPr>
          <w:p>
            <w:r>
              <w:rPr>
                <w:rFonts w:ascii="Arial" w:cs="Arial" w:eastAsia="Arial" w:hAnsi="Arial"/>
                <w:b w:val="false"/>
                <w:bCs w:val="false"/>
                <w:color w:val="1E1B2E"/>
                <w:sz w:val="19"/>
                <w:szCs w:val="19"/>
              </w:rPr>
              <w:t xml:space="preserve">Use PurpBot AI</w:t>
            </w:r>
          </w:p>
        </w:tc>
        <w:tc>
          <w:tcPr>
            <w:tcW w:type="dxa" w:w="1440"/>
            <w:tcBorders>
              <w:top w:val="single" w:color="DDD6FE" w:sz="4"/>
              <w:left w:val="single" w:color="DDD6FE" w:sz="4"/>
              <w:bottom w:val="single" w:color="DDD6FE" w:sz="4"/>
              <w:right w:val="single" w:color="DDD6FE" w:sz="4"/>
            </w:tcBorders>
            <w:shd w:fill="F8F7FF" w:val="clear"/>
            <w:tcMar>
              <w:top w:type="dxa" w:w="70"/>
              <w:left w:type="dxa" w:w="120"/>
              <w:bottom w:type="dxa" w:w="70"/>
              <w:right w:type="dxa" w:w="120"/>
            </w:tcMar>
          </w:tcPr>
          <w:p>
            <w:r>
              <w:rPr>
                <w:rFonts w:ascii="Arial" w:cs="Arial" w:eastAsia="Arial" w:hAnsi="Arial"/>
                <w:b w:val="false"/>
                <w:bCs w:val="false"/>
                <w:color w:val="065F46"/>
                <w:sz w:val="19"/>
                <w:szCs w:val="19"/>
              </w:rPr>
              <w:t xml:space="preserve">✓</w:t>
            </w:r>
          </w:p>
        </w:tc>
        <w:tc>
          <w:tcPr>
            <w:tcW w:type="dxa" w:w="1440"/>
            <w:tcBorders>
              <w:top w:val="single" w:color="DDD6FE" w:sz="4"/>
              <w:left w:val="single" w:color="DDD6FE" w:sz="4"/>
              <w:bottom w:val="single" w:color="DDD6FE" w:sz="4"/>
              <w:right w:val="single" w:color="DDD6FE" w:sz="4"/>
            </w:tcBorders>
            <w:shd w:fill="F8F7FF" w:val="clear"/>
            <w:tcMar>
              <w:top w:type="dxa" w:w="70"/>
              <w:left w:type="dxa" w:w="120"/>
              <w:bottom w:type="dxa" w:w="70"/>
              <w:right w:type="dxa" w:w="120"/>
            </w:tcMar>
          </w:tcPr>
          <w:p>
            <w:r>
              <w:rPr>
                <w:rFonts w:ascii="Arial" w:cs="Arial" w:eastAsia="Arial" w:hAnsi="Arial"/>
                <w:b w:val="false"/>
                <w:bCs w:val="false"/>
                <w:color w:val="065F46"/>
                <w:sz w:val="19"/>
                <w:szCs w:val="19"/>
              </w:rPr>
              <w:t xml:space="preserve">✓</w:t>
            </w:r>
          </w:p>
        </w:tc>
        <w:tc>
          <w:tcPr>
            <w:tcW w:type="dxa" w:w="1440"/>
            <w:tcBorders>
              <w:top w:val="single" w:color="DDD6FE" w:sz="4"/>
              <w:left w:val="single" w:color="DDD6FE" w:sz="4"/>
              <w:bottom w:val="single" w:color="DDD6FE" w:sz="4"/>
              <w:right w:val="single" w:color="DDD6FE" w:sz="4"/>
            </w:tcBorders>
            <w:shd w:fill="F8F7FF" w:val="clear"/>
            <w:tcMar>
              <w:top w:type="dxa" w:w="70"/>
              <w:left w:type="dxa" w:w="120"/>
              <w:bottom w:type="dxa" w:w="70"/>
              <w:right w:type="dxa" w:w="120"/>
            </w:tcMar>
          </w:tcPr>
          <w:p>
            <w:r>
              <w:rPr>
                <w:rFonts w:ascii="Arial" w:cs="Arial" w:eastAsia="Arial" w:hAnsi="Arial"/>
                <w:b w:val="false"/>
                <w:bCs w:val="false"/>
                <w:color w:val="065F46"/>
                <w:sz w:val="19"/>
                <w:szCs w:val="19"/>
              </w:rPr>
              <w:t xml:space="preserve">✓</w:t>
            </w:r>
          </w:p>
        </w:tc>
        <w:tc>
          <w:tcPr>
            <w:tcW w:type="dxa" w:w="2440"/>
            <w:tcBorders>
              <w:top w:val="single" w:color="DDD6FE" w:sz="4"/>
              <w:left w:val="single" w:color="DDD6FE" w:sz="4"/>
              <w:bottom w:val="single" w:color="DDD6FE" w:sz="4"/>
              <w:right w:val="single" w:color="DDD6FE" w:sz="4"/>
            </w:tcBorders>
            <w:shd w:fill="F8F7FF" w:val="clear"/>
            <w:tcMar>
              <w:top w:type="dxa" w:w="70"/>
              <w:left w:type="dxa" w:w="120"/>
              <w:bottom w:type="dxa" w:w="70"/>
              <w:right w:type="dxa" w:w="120"/>
            </w:tcMar>
          </w:tcPr>
          <w:p>
            <w:r>
              <w:rPr>
                <w:rFonts w:ascii="Arial" w:cs="Arial" w:eastAsia="Arial" w:hAnsi="Arial"/>
                <w:b w:val="false"/>
                <w:bCs w:val="false"/>
                <w:color w:val="1E1B2E"/>
                <w:sz w:val="19"/>
                <w:szCs w:val="19"/>
              </w:rPr>
              <w:t xml:space="preserve">Read-only for all roles by definition</w:t>
            </w:r>
          </w:p>
        </w:tc>
      </w:tr>
      <w:tr>
        <w:trPr>
          <w:tblHeader w:val="false"/>
        </w:trPr>
        <w:tc>
          <w:tcPr>
            <w:tcW w:type="dxa" w:w="2600"/>
            <w:tcBorders>
              <w:top w:val="single" w:color="DDD6FE" w:sz="4"/>
              <w:left w:val="single" w:color="DDD6FE" w:sz="4"/>
              <w:bottom w:val="single" w:color="DDD6FE" w:sz="4"/>
              <w:right w:val="single" w:color="DDD6FE" w:sz="4"/>
            </w:tcBorders>
            <w:shd w:fill="EDE9FE" w:val="clear"/>
            <w:tcMar>
              <w:top w:type="dxa" w:w="70"/>
              <w:left w:type="dxa" w:w="120"/>
              <w:bottom w:type="dxa" w:w="70"/>
              <w:right w:type="dxa" w:w="120"/>
            </w:tcMar>
          </w:tcPr>
          <w:p>
            <w:r>
              <w:rPr>
                <w:rFonts w:ascii="Arial" w:cs="Arial" w:eastAsia="Arial" w:hAnsi="Arial"/>
                <w:b w:val="false"/>
                <w:bCs w:val="false"/>
                <w:color w:val="1E1B2E"/>
                <w:sz w:val="19"/>
                <w:szCs w:val="19"/>
              </w:rPr>
              <w:t xml:space="preserve">Manage Clients (CRUD)</w:t>
            </w:r>
          </w:p>
        </w:tc>
        <w:tc>
          <w:tcPr>
            <w:tcW w:type="dxa" w:w="1440"/>
            <w:tcBorders>
              <w:top w:val="single" w:color="DDD6FE" w:sz="4"/>
              <w:left w:val="single" w:color="DDD6FE" w:sz="4"/>
              <w:bottom w:val="single" w:color="DDD6FE" w:sz="4"/>
              <w:right w:val="single" w:color="DDD6FE" w:sz="4"/>
            </w:tcBorders>
            <w:shd w:fill="FFFFFF" w:val="clear"/>
            <w:tcMar>
              <w:top w:type="dxa" w:w="70"/>
              <w:left w:type="dxa" w:w="120"/>
              <w:bottom w:type="dxa" w:w="70"/>
              <w:right w:type="dxa" w:w="120"/>
            </w:tcMar>
          </w:tcPr>
          <w:p>
            <w:r>
              <w:rPr>
                <w:rFonts w:ascii="Arial" w:cs="Arial" w:eastAsia="Arial" w:hAnsi="Arial"/>
                <w:b w:val="false"/>
                <w:bCs w:val="false"/>
                <w:color w:val="065F46"/>
                <w:sz w:val="19"/>
                <w:szCs w:val="19"/>
              </w:rPr>
              <w:t xml:space="preserve">✓</w:t>
            </w:r>
          </w:p>
        </w:tc>
        <w:tc>
          <w:tcPr>
            <w:tcW w:type="dxa" w:w="1440"/>
            <w:tcBorders>
              <w:top w:val="single" w:color="DDD6FE" w:sz="4"/>
              <w:left w:val="single" w:color="DDD6FE" w:sz="4"/>
              <w:bottom w:val="single" w:color="DDD6FE" w:sz="4"/>
              <w:right w:val="single" w:color="DDD6FE" w:sz="4"/>
            </w:tcBorders>
            <w:shd w:fill="FFFFFF" w:val="clear"/>
            <w:tcMar>
              <w:top w:type="dxa" w:w="70"/>
              <w:left w:type="dxa" w:w="120"/>
              <w:bottom w:type="dxa" w:w="70"/>
              <w:right w:type="dxa" w:w="120"/>
            </w:tcMar>
          </w:tcPr>
          <w:p>
            <w:r>
              <w:rPr>
                <w:rFonts w:ascii="Arial" w:cs="Arial" w:eastAsia="Arial" w:hAnsi="Arial"/>
                <w:b w:val="false"/>
                <w:bCs w:val="false"/>
                <w:color w:val="065F46"/>
                <w:sz w:val="19"/>
                <w:szCs w:val="19"/>
              </w:rPr>
              <w:t xml:space="preserve">✓</w:t>
            </w:r>
          </w:p>
        </w:tc>
        <w:tc>
          <w:tcPr>
            <w:tcW w:type="dxa" w:w="1440"/>
            <w:tcBorders>
              <w:top w:val="single" w:color="DDD6FE" w:sz="4"/>
              <w:left w:val="single" w:color="DDD6FE" w:sz="4"/>
              <w:bottom w:val="single" w:color="DDD6FE" w:sz="4"/>
              <w:right w:val="single" w:color="DDD6FE" w:sz="4"/>
            </w:tcBorders>
            <w:shd w:fill="FFFFFF" w:val="clear"/>
            <w:tcMar>
              <w:top w:type="dxa" w:w="70"/>
              <w:left w:type="dxa" w:w="120"/>
              <w:bottom w:type="dxa" w:w="70"/>
              <w:right w:type="dxa" w:w="120"/>
            </w:tcMar>
          </w:tcPr>
          <w:p>
            <w:r>
              <w:rPr>
                <w:rFonts w:ascii="Arial" w:cs="Arial" w:eastAsia="Arial" w:hAnsi="Arial"/>
                <w:b w:val="false"/>
                <w:bCs w:val="false"/>
                <w:color w:val="DC2626"/>
                <w:sz w:val="19"/>
                <w:szCs w:val="19"/>
              </w:rPr>
              <w:t xml:space="preserve">✗</w:t>
            </w:r>
          </w:p>
        </w:tc>
        <w:tc>
          <w:tcPr>
            <w:tcW w:type="dxa" w:w="2440"/>
            <w:tcBorders>
              <w:top w:val="single" w:color="DDD6FE" w:sz="4"/>
              <w:left w:val="single" w:color="DDD6FE" w:sz="4"/>
              <w:bottom w:val="single" w:color="DDD6FE" w:sz="4"/>
              <w:right w:val="single" w:color="DDD6FE" w:sz="4"/>
            </w:tcBorders>
            <w:shd w:fill="FFFFFF" w:val="clear"/>
            <w:tcMar>
              <w:top w:type="dxa" w:w="70"/>
              <w:left w:type="dxa" w:w="120"/>
              <w:bottom w:type="dxa" w:w="70"/>
              <w:right w:type="dxa" w:w="120"/>
            </w:tcMar>
          </w:tcPr>
          <w:p>
            <w:r>
              <w:rPr>
                <w:rFonts w:ascii="Arial" w:cs="Arial" w:eastAsia="Arial" w:hAnsi="Arial"/>
                <w:b w:val="false"/>
                <w:bCs w:val="false"/>
                <w:color w:val="1E1B2E"/>
                <w:sz w:val="19"/>
                <w:szCs w:val="19"/>
              </w:rPr>
              <w:t xml:space="preserve">Viewer sees client list, cannot edit</w:t>
            </w:r>
          </w:p>
        </w:tc>
      </w:tr>
      <w:tr>
        <w:trPr>
          <w:tblHeader w:val="false"/>
        </w:trPr>
        <w:tc>
          <w:tcPr>
            <w:tcW w:type="dxa" w:w="2600"/>
            <w:tcBorders>
              <w:top w:val="single" w:color="DDD6FE" w:sz="4"/>
              <w:left w:val="single" w:color="DDD6FE" w:sz="4"/>
              <w:bottom w:val="single" w:color="DDD6FE" w:sz="4"/>
              <w:right w:val="single" w:color="DDD6FE" w:sz="4"/>
            </w:tcBorders>
            <w:shd w:fill="EDE9FE" w:val="clear"/>
            <w:tcMar>
              <w:top w:type="dxa" w:w="70"/>
              <w:left w:type="dxa" w:w="120"/>
              <w:bottom w:type="dxa" w:w="70"/>
              <w:right w:type="dxa" w:w="120"/>
            </w:tcMar>
          </w:tcPr>
          <w:p>
            <w:r>
              <w:rPr>
                <w:rFonts w:ascii="Arial" w:cs="Arial" w:eastAsia="Arial" w:hAnsi="Arial"/>
                <w:b w:val="false"/>
                <w:bCs w:val="false"/>
                <w:color w:val="1E1B2E"/>
                <w:sz w:val="19"/>
                <w:szCs w:val="19"/>
              </w:rPr>
              <w:t xml:space="preserve">View Transactions</w:t>
            </w:r>
          </w:p>
        </w:tc>
        <w:tc>
          <w:tcPr>
            <w:tcW w:type="dxa" w:w="1440"/>
            <w:tcBorders>
              <w:top w:val="single" w:color="DDD6FE" w:sz="4"/>
              <w:left w:val="single" w:color="DDD6FE" w:sz="4"/>
              <w:bottom w:val="single" w:color="DDD6FE" w:sz="4"/>
              <w:right w:val="single" w:color="DDD6FE" w:sz="4"/>
            </w:tcBorders>
            <w:shd w:fill="F8F7FF" w:val="clear"/>
            <w:tcMar>
              <w:top w:type="dxa" w:w="70"/>
              <w:left w:type="dxa" w:w="120"/>
              <w:bottom w:type="dxa" w:w="70"/>
              <w:right w:type="dxa" w:w="120"/>
            </w:tcMar>
          </w:tcPr>
          <w:p>
            <w:r>
              <w:rPr>
                <w:rFonts w:ascii="Arial" w:cs="Arial" w:eastAsia="Arial" w:hAnsi="Arial"/>
                <w:b w:val="false"/>
                <w:bCs w:val="false"/>
                <w:color w:val="065F46"/>
                <w:sz w:val="19"/>
                <w:szCs w:val="19"/>
              </w:rPr>
              <w:t xml:space="preserve">✓</w:t>
            </w:r>
          </w:p>
        </w:tc>
        <w:tc>
          <w:tcPr>
            <w:tcW w:type="dxa" w:w="1440"/>
            <w:tcBorders>
              <w:top w:val="single" w:color="DDD6FE" w:sz="4"/>
              <w:left w:val="single" w:color="DDD6FE" w:sz="4"/>
              <w:bottom w:val="single" w:color="DDD6FE" w:sz="4"/>
              <w:right w:val="single" w:color="DDD6FE" w:sz="4"/>
            </w:tcBorders>
            <w:shd w:fill="F8F7FF" w:val="clear"/>
            <w:tcMar>
              <w:top w:type="dxa" w:w="70"/>
              <w:left w:type="dxa" w:w="120"/>
              <w:bottom w:type="dxa" w:w="70"/>
              <w:right w:type="dxa" w:w="120"/>
            </w:tcMar>
          </w:tcPr>
          <w:p>
            <w:r>
              <w:rPr>
                <w:rFonts w:ascii="Arial" w:cs="Arial" w:eastAsia="Arial" w:hAnsi="Arial"/>
                <w:b w:val="false"/>
                <w:bCs w:val="false"/>
                <w:color w:val="065F46"/>
                <w:sz w:val="19"/>
                <w:szCs w:val="19"/>
              </w:rPr>
              <w:t xml:space="preserve">✓</w:t>
            </w:r>
          </w:p>
        </w:tc>
        <w:tc>
          <w:tcPr>
            <w:tcW w:type="dxa" w:w="1440"/>
            <w:tcBorders>
              <w:top w:val="single" w:color="DDD6FE" w:sz="4"/>
              <w:left w:val="single" w:color="DDD6FE" w:sz="4"/>
              <w:bottom w:val="single" w:color="DDD6FE" w:sz="4"/>
              <w:right w:val="single" w:color="DDD6FE" w:sz="4"/>
            </w:tcBorders>
            <w:shd w:fill="F8F7FF" w:val="clear"/>
            <w:tcMar>
              <w:top w:type="dxa" w:w="70"/>
              <w:left w:type="dxa" w:w="120"/>
              <w:bottom w:type="dxa" w:w="70"/>
              <w:right w:type="dxa" w:w="120"/>
            </w:tcMar>
          </w:tcPr>
          <w:p>
            <w:r>
              <w:rPr>
                <w:rFonts w:ascii="Arial" w:cs="Arial" w:eastAsia="Arial" w:hAnsi="Arial"/>
                <w:b w:val="false"/>
                <w:bCs w:val="false"/>
                <w:color w:val="065F46"/>
                <w:sz w:val="19"/>
                <w:szCs w:val="19"/>
              </w:rPr>
              <w:t xml:space="preserve">✓</w:t>
            </w:r>
          </w:p>
        </w:tc>
        <w:tc>
          <w:tcPr>
            <w:tcW w:type="dxa" w:w="2440"/>
            <w:tcBorders>
              <w:top w:val="single" w:color="DDD6FE" w:sz="4"/>
              <w:left w:val="single" w:color="DDD6FE" w:sz="4"/>
              <w:bottom w:val="single" w:color="DDD6FE" w:sz="4"/>
              <w:right w:val="single" w:color="DDD6FE" w:sz="4"/>
            </w:tcBorders>
            <w:shd w:fill="F8F7FF" w:val="clear"/>
            <w:tcMar>
              <w:top w:type="dxa" w:w="70"/>
              <w:left w:type="dxa" w:w="120"/>
              <w:bottom w:type="dxa" w:w="70"/>
              <w:right w:type="dxa" w:w="120"/>
            </w:tcMar>
          </w:tcPr>
          <w:p>
            <w:r>
              <w:rPr>
                <w:rFonts w:ascii="Arial" w:cs="Arial" w:eastAsia="Arial" w:hAnsi="Arial"/>
                <w:b w:val="false"/>
                <w:bCs w:val="false"/>
                <w:color w:val="1E1B2E"/>
                <w:sz w:val="19"/>
                <w:szCs w:val="19"/>
              </w:rPr>
              <w:t xml:space="preserve"/>
            </w:r>
          </w:p>
        </w:tc>
      </w:tr>
      <w:tr>
        <w:trPr>
          <w:tblHeader w:val="false"/>
        </w:trPr>
        <w:tc>
          <w:tcPr>
            <w:tcW w:type="dxa" w:w="2600"/>
            <w:tcBorders>
              <w:top w:val="single" w:color="DDD6FE" w:sz="4"/>
              <w:left w:val="single" w:color="DDD6FE" w:sz="4"/>
              <w:bottom w:val="single" w:color="DDD6FE" w:sz="4"/>
              <w:right w:val="single" w:color="DDD6FE" w:sz="4"/>
            </w:tcBorders>
            <w:shd w:fill="EDE9FE" w:val="clear"/>
            <w:tcMar>
              <w:top w:type="dxa" w:w="70"/>
              <w:left w:type="dxa" w:w="120"/>
              <w:bottom w:type="dxa" w:w="70"/>
              <w:right w:type="dxa" w:w="120"/>
            </w:tcMar>
          </w:tcPr>
          <w:p>
            <w:r>
              <w:rPr>
                <w:rFonts w:ascii="Arial" w:cs="Arial" w:eastAsia="Arial" w:hAnsi="Arial"/>
                <w:b w:val="false"/>
                <w:bCs w:val="false"/>
                <w:color w:val="1E1B2E"/>
                <w:sz w:val="19"/>
                <w:szCs w:val="19"/>
              </w:rPr>
              <w:t xml:space="preserve">Manage Team Members</w:t>
            </w:r>
          </w:p>
        </w:tc>
        <w:tc>
          <w:tcPr>
            <w:tcW w:type="dxa" w:w="1440"/>
            <w:tcBorders>
              <w:top w:val="single" w:color="DDD6FE" w:sz="4"/>
              <w:left w:val="single" w:color="DDD6FE" w:sz="4"/>
              <w:bottom w:val="single" w:color="DDD6FE" w:sz="4"/>
              <w:right w:val="single" w:color="DDD6FE" w:sz="4"/>
            </w:tcBorders>
            <w:shd w:fill="FFFFFF" w:val="clear"/>
            <w:tcMar>
              <w:top w:type="dxa" w:w="70"/>
              <w:left w:type="dxa" w:w="120"/>
              <w:bottom w:type="dxa" w:w="70"/>
              <w:right w:type="dxa" w:w="120"/>
            </w:tcMar>
          </w:tcPr>
          <w:p>
            <w:r>
              <w:rPr>
                <w:rFonts w:ascii="Arial" w:cs="Arial" w:eastAsia="Arial" w:hAnsi="Arial"/>
                <w:b w:val="false"/>
                <w:bCs w:val="false"/>
                <w:color w:val="065F46"/>
                <w:sz w:val="19"/>
                <w:szCs w:val="19"/>
              </w:rPr>
              <w:t xml:space="preserve">✓</w:t>
            </w:r>
          </w:p>
        </w:tc>
        <w:tc>
          <w:tcPr>
            <w:tcW w:type="dxa" w:w="1440"/>
            <w:tcBorders>
              <w:top w:val="single" w:color="DDD6FE" w:sz="4"/>
              <w:left w:val="single" w:color="DDD6FE" w:sz="4"/>
              <w:bottom w:val="single" w:color="DDD6FE" w:sz="4"/>
              <w:right w:val="single" w:color="DDD6FE" w:sz="4"/>
            </w:tcBorders>
            <w:shd w:fill="FFFFFF" w:val="clear"/>
            <w:tcMar>
              <w:top w:type="dxa" w:w="70"/>
              <w:left w:type="dxa" w:w="120"/>
              <w:bottom w:type="dxa" w:w="70"/>
              <w:right w:type="dxa" w:w="120"/>
            </w:tcMar>
          </w:tcPr>
          <w:p>
            <w:r>
              <w:rPr>
                <w:rFonts w:ascii="Arial" w:cs="Arial" w:eastAsia="Arial" w:hAnsi="Arial"/>
                <w:b w:val="false"/>
                <w:bCs w:val="false"/>
                <w:color w:val="DC2626"/>
                <w:sz w:val="19"/>
                <w:szCs w:val="19"/>
              </w:rPr>
              <w:t xml:space="preserve">✗</w:t>
            </w:r>
          </w:p>
        </w:tc>
        <w:tc>
          <w:tcPr>
            <w:tcW w:type="dxa" w:w="1440"/>
            <w:tcBorders>
              <w:top w:val="single" w:color="DDD6FE" w:sz="4"/>
              <w:left w:val="single" w:color="DDD6FE" w:sz="4"/>
              <w:bottom w:val="single" w:color="DDD6FE" w:sz="4"/>
              <w:right w:val="single" w:color="DDD6FE" w:sz="4"/>
            </w:tcBorders>
            <w:shd w:fill="FFFFFF" w:val="clear"/>
            <w:tcMar>
              <w:top w:type="dxa" w:w="70"/>
              <w:left w:type="dxa" w:w="120"/>
              <w:bottom w:type="dxa" w:w="70"/>
              <w:right w:type="dxa" w:w="120"/>
            </w:tcMar>
          </w:tcPr>
          <w:p>
            <w:r>
              <w:rPr>
                <w:rFonts w:ascii="Arial" w:cs="Arial" w:eastAsia="Arial" w:hAnsi="Arial"/>
                <w:b w:val="false"/>
                <w:bCs w:val="false"/>
                <w:color w:val="DC2626"/>
                <w:sz w:val="19"/>
                <w:szCs w:val="19"/>
              </w:rPr>
              <w:t xml:space="preserve">✗</w:t>
            </w:r>
          </w:p>
        </w:tc>
        <w:tc>
          <w:tcPr>
            <w:tcW w:type="dxa" w:w="2440"/>
            <w:tcBorders>
              <w:top w:val="single" w:color="DDD6FE" w:sz="4"/>
              <w:left w:val="single" w:color="DDD6FE" w:sz="4"/>
              <w:bottom w:val="single" w:color="DDD6FE" w:sz="4"/>
              <w:right w:val="single" w:color="DDD6FE" w:sz="4"/>
            </w:tcBorders>
            <w:shd w:fill="FFFFFF" w:val="clear"/>
            <w:tcMar>
              <w:top w:type="dxa" w:w="70"/>
              <w:left w:type="dxa" w:w="120"/>
              <w:bottom w:type="dxa" w:w="70"/>
              <w:right w:type="dxa" w:w="120"/>
            </w:tcMar>
          </w:tcPr>
          <w:p>
            <w:r>
              <w:rPr>
                <w:rFonts w:ascii="Arial" w:cs="Arial" w:eastAsia="Arial" w:hAnsi="Arial"/>
                <w:b w:val="false"/>
                <w:bCs w:val="false"/>
                <w:color w:val="1E1B2E"/>
                <w:sz w:val="19"/>
                <w:szCs w:val="19"/>
              </w:rPr>
              <w:t xml:space="preserve">Owner-only</w:t>
            </w:r>
          </w:p>
        </w:tc>
      </w:tr>
      <w:tr>
        <w:trPr>
          <w:tblHeader w:val="false"/>
        </w:trPr>
        <w:tc>
          <w:tcPr>
            <w:tcW w:type="dxa" w:w="2600"/>
            <w:tcBorders>
              <w:top w:val="single" w:color="DDD6FE" w:sz="4"/>
              <w:left w:val="single" w:color="DDD6FE" w:sz="4"/>
              <w:bottom w:val="single" w:color="DDD6FE" w:sz="4"/>
              <w:right w:val="single" w:color="DDD6FE" w:sz="4"/>
            </w:tcBorders>
            <w:shd w:fill="EDE9FE" w:val="clear"/>
            <w:tcMar>
              <w:top w:type="dxa" w:w="70"/>
              <w:left w:type="dxa" w:w="120"/>
              <w:bottom w:type="dxa" w:w="70"/>
              <w:right w:type="dxa" w:w="120"/>
            </w:tcMar>
          </w:tcPr>
          <w:p>
            <w:r>
              <w:rPr>
                <w:rFonts w:ascii="Arial" w:cs="Arial" w:eastAsia="Arial" w:hAnsi="Arial"/>
                <w:b w:val="false"/>
                <w:bCs w:val="false"/>
                <w:color w:val="1E1B2E"/>
                <w:sz w:val="19"/>
                <w:szCs w:val="19"/>
              </w:rPr>
              <w:t xml:space="preserve">Change Fee Absorption Setting</w:t>
            </w:r>
          </w:p>
        </w:tc>
        <w:tc>
          <w:tcPr>
            <w:tcW w:type="dxa" w:w="1440"/>
            <w:tcBorders>
              <w:top w:val="single" w:color="DDD6FE" w:sz="4"/>
              <w:left w:val="single" w:color="DDD6FE" w:sz="4"/>
              <w:bottom w:val="single" w:color="DDD6FE" w:sz="4"/>
              <w:right w:val="single" w:color="DDD6FE" w:sz="4"/>
            </w:tcBorders>
            <w:shd w:fill="F8F7FF" w:val="clear"/>
            <w:tcMar>
              <w:top w:type="dxa" w:w="70"/>
              <w:left w:type="dxa" w:w="120"/>
              <w:bottom w:type="dxa" w:w="70"/>
              <w:right w:type="dxa" w:w="120"/>
            </w:tcMar>
          </w:tcPr>
          <w:p>
            <w:r>
              <w:rPr>
                <w:rFonts w:ascii="Arial" w:cs="Arial" w:eastAsia="Arial" w:hAnsi="Arial"/>
                <w:b w:val="false"/>
                <w:bCs w:val="false"/>
                <w:color w:val="065F46"/>
                <w:sz w:val="19"/>
                <w:szCs w:val="19"/>
              </w:rPr>
              <w:t xml:space="preserve">✓</w:t>
            </w:r>
          </w:p>
        </w:tc>
        <w:tc>
          <w:tcPr>
            <w:tcW w:type="dxa" w:w="1440"/>
            <w:tcBorders>
              <w:top w:val="single" w:color="DDD6FE" w:sz="4"/>
              <w:left w:val="single" w:color="DDD6FE" w:sz="4"/>
              <w:bottom w:val="single" w:color="DDD6FE" w:sz="4"/>
              <w:right w:val="single" w:color="DDD6FE" w:sz="4"/>
            </w:tcBorders>
            <w:shd w:fill="F8F7FF" w:val="clear"/>
            <w:tcMar>
              <w:top w:type="dxa" w:w="70"/>
              <w:left w:type="dxa" w:w="120"/>
              <w:bottom w:type="dxa" w:w="70"/>
              <w:right w:type="dxa" w:w="120"/>
            </w:tcMar>
          </w:tcPr>
          <w:p>
            <w:r>
              <w:rPr>
                <w:rFonts w:ascii="Arial" w:cs="Arial" w:eastAsia="Arial" w:hAnsi="Arial"/>
                <w:b w:val="false"/>
                <w:bCs w:val="false"/>
                <w:color w:val="DC2626"/>
                <w:sz w:val="19"/>
                <w:szCs w:val="19"/>
              </w:rPr>
              <w:t xml:space="preserve">✗</w:t>
            </w:r>
          </w:p>
        </w:tc>
        <w:tc>
          <w:tcPr>
            <w:tcW w:type="dxa" w:w="1440"/>
            <w:tcBorders>
              <w:top w:val="single" w:color="DDD6FE" w:sz="4"/>
              <w:left w:val="single" w:color="DDD6FE" w:sz="4"/>
              <w:bottom w:val="single" w:color="DDD6FE" w:sz="4"/>
              <w:right w:val="single" w:color="DDD6FE" w:sz="4"/>
            </w:tcBorders>
            <w:shd w:fill="F8F7FF" w:val="clear"/>
            <w:tcMar>
              <w:top w:type="dxa" w:w="70"/>
              <w:left w:type="dxa" w:w="120"/>
              <w:bottom w:type="dxa" w:w="70"/>
              <w:right w:type="dxa" w:w="120"/>
            </w:tcMar>
          </w:tcPr>
          <w:p>
            <w:r>
              <w:rPr>
                <w:rFonts w:ascii="Arial" w:cs="Arial" w:eastAsia="Arial" w:hAnsi="Arial"/>
                <w:b w:val="false"/>
                <w:bCs w:val="false"/>
                <w:color w:val="DC2626"/>
                <w:sz w:val="19"/>
                <w:szCs w:val="19"/>
              </w:rPr>
              <w:t xml:space="preserve">✗</w:t>
            </w:r>
          </w:p>
        </w:tc>
        <w:tc>
          <w:tcPr>
            <w:tcW w:type="dxa" w:w="2440"/>
            <w:tcBorders>
              <w:top w:val="single" w:color="DDD6FE" w:sz="4"/>
              <w:left w:val="single" w:color="DDD6FE" w:sz="4"/>
              <w:bottom w:val="single" w:color="DDD6FE" w:sz="4"/>
              <w:right w:val="single" w:color="DDD6FE" w:sz="4"/>
            </w:tcBorders>
            <w:shd w:fill="F8F7FF" w:val="clear"/>
            <w:tcMar>
              <w:top w:type="dxa" w:w="70"/>
              <w:left w:type="dxa" w:w="120"/>
              <w:bottom w:type="dxa" w:w="70"/>
              <w:right w:type="dxa" w:w="120"/>
            </w:tcMar>
          </w:tcPr>
          <w:p>
            <w:r>
              <w:rPr>
                <w:rFonts w:ascii="Arial" w:cs="Arial" w:eastAsia="Arial" w:hAnsi="Arial"/>
                <w:b w:val="false"/>
                <w:bCs w:val="false"/>
                <w:color w:val="1E1B2E"/>
                <w:sz w:val="19"/>
                <w:szCs w:val="19"/>
              </w:rPr>
              <w:t xml:space="preserve">Owner-only</w:t>
            </w:r>
          </w:p>
        </w:tc>
      </w:tr>
      <w:tr>
        <w:trPr>
          <w:tblHeader w:val="false"/>
        </w:trPr>
        <w:tc>
          <w:tcPr>
            <w:tcW w:type="dxa" w:w="2600"/>
            <w:tcBorders>
              <w:top w:val="single" w:color="DDD6FE" w:sz="4"/>
              <w:left w:val="single" w:color="DDD6FE" w:sz="4"/>
              <w:bottom w:val="single" w:color="DDD6FE" w:sz="4"/>
              <w:right w:val="single" w:color="DDD6FE" w:sz="4"/>
            </w:tcBorders>
            <w:shd w:fill="EDE9FE" w:val="clear"/>
            <w:tcMar>
              <w:top w:type="dxa" w:w="70"/>
              <w:left w:type="dxa" w:w="120"/>
              <w:bottom w:type="dxa" w:w="70"/>
              <w:right w:type="dxa" w:w="120"/>
            </w:tcMar>
          </w:tcPr>
          <w:p>
            <w:r>
              <w:rPr>
                <w:rFonts w:ascii="Arial" w:cs="Arial" w:eastAsia="Arial" w:hAnsi="Arial"/>
                <w:b w:val="false"/>
                <w:bCs w:val="false"/>
                <w:color w:val="1E1B2E"/>
                <w:sz w:val="19"/>
                <w:szCs w:val="19"/>
              </w:rPr>
              <w:t xml:space="preserve">Manage KYC / Verification</w:t>
            </w:r>
          </w:p>
        </w:tc>
        <w:tc>
          <w:tcPr>
            <w:tcW w:type="dxa" w:w="1440"/>
            <w:tcBorders>
              <w:top w:val="single" w:color="DDD6FE" w:sz="4"/>
              <w:left w:val="single" w:color="DDD6FE" w:sz="4"/>
              <w:bottom w:val="single" w:color="DDD6FE" w:sz="4"/>
              <w:right w:val="single" w:color="DDD6FE" w:sz="4"/>
            </w:tcBorders>
            <w:shd w:fill="FFFFFF" w:val="clear"/>
            <w:tcMar>
              <w:top w:type="dxa" w:w="70"/>
              <w:left w:type="dxa" w:w="120"/>
              <w:bottom w:type="dxa" w:w="70"/>
              <w:right w:type="dxa" w:w="120"/>
            </w:tcMar>
          </w:tcPr>
          <w:p>
            <w:r>
              <w:rPr>
                <w:rFonts w:ascii="Arial" w:cs="Arial" w:eastAsia="Arial" w:hAnsi="Arial"/>
                <w:b w:val="false"/>
                <w:bCs w:val="false"/>
                <w:color w:val="065F46"/>
                <w:sz w:val="19"/>
                <w:szCs w:val="19"/>
              </w:rPr>
              <w:t xml:space="preserve">✓</w:t>
            </w:r>
          </w:p>
        </w:tc>
        <w:tc>
          <w:tcPr>
            <w:tcW w:type="dxa" w:w="1440"/>
            <w:tcBorders>
              <w:top w:val="single" w:color="DDD6FE" w:sz="4"/>
              <w:left w:val="single" w:color="DDD6FE" w:sz="4"/>
              <w:bottom w:val="single" w:color="DDD6FE" w:sz="4"/>
              <w:right w:val="single" w:color="DDD6FE" w:sz="4"/>
            </w:tcBorders>
            <w:shd w:fill="FFFFFF" w:val="clear"/>
            <w:tcMar>
              <w:top w:type="dxa" w:w="70"/>
              <w:left w:type="dxa" w:w="120"/>
              <w:bottom w:type="dxa" w:w="70"/>
              <w:right w:type="dxa" w:w="120"/>
            </w:tcMar>
          </w:tcPr>
          <w:p>
            <w:r>
              <w:rPr>
                <w:rFonts w:ascii="Arial" w:cs="Arial" w:eastAsia="Arial" w:hAnsi="Arial"/>
                <w:b w:val="false"/>
                <w:bCs w:val="false"/>
                <w:color w:val="DC2626"/>
                <w:sz w:val="19"/>
                <w:szCs w:val="19"/>
              </w:rPr>
              <w:t xml:space="preserve">✗</w:t>
            </w:r>
          </w:p>
        </w:tc>
        <w:tc>
          <w:tcPr>
            <w:tcW w:type="dxa" w:w="1440"/>
            <w:tcBorders>
              <w:top w:val="single" w:color="DDD6FE" w:sz="4"/>
              <w:left w:val="single" w:color="DDD6FE" w:sz="4"/>
              <w:bottom w:val="single" w:color="DDD6FE" w:sz="4"/>
              <w:right w:val="single" w:color="DDD6FE" w:sz="4"/>
            </w:tcBorders>
            <w:shd w:fill="FFFFFF" w:val="clear"/>
            <w:tcMar>
              <w:top w:type="dxa" w:w="70"/>
              <w:left w:type="dxa" w:w="120"/>
              <w:bottom w:type="dxa" w:w="70"/>
              <w:right w:type="dxa" w:w="120"/>
            </w:tcMar>
          </w:tcPr>
          <w:p>
            <w:r>
              <w:rPr>
                <w:rFonts w:ascii="Arial" w:cs="Arial" w:eastAsia="Arial" w:hAnsi="Arial"/>
                <w:b w:val="false"/>
                <w:bCs w:val="false"/>
                <w:color w:val="DC2626"/>
                <w:sz w:val="19"/>
                <w:szCs w:val="19"/>
              </w:rPr>
              <w:t xml:space="preserve">✗</w:t>
            </w:r>
          </w:p>
        </w:tc>
        <w:tc>
          <w:tcPr>
            <w:tcW w:type="dxa" w:w="2440"/>
            <w:tcBorders>
              <w:top w:val="single" w:color="DDD6FE" w:sz="4"/>
              <w:left w:val="single" w:color="DDD6FE" w:sz="4"/>
              <w:bottom w:val="single" w:color="DDD6FE" w:sz="4"/>
              <w:right w:val="single" w:color="DDD6FE" w:sz="4"/>
            </w:tcBorders>
            <w:shd w:fill="FFFFFF" w:val="clear"/>
            <w:tcMar>
              <w:top w:type="dxa" w:w="70"/>
              <w:left w:type="dxa" w:w="120"/>
              <w:bottom w:type="dxa" w:w="70"/>
              <w:right w:type="dxa" w:w="120"/>
            </w:tcMar>
          </w:tcPr>
          <w:p>
            <w:r>
              <w:rPr>
                <w:rFonts w:ascii="Arial" w:cs="Arial" w:eastAsia="Arial" w:hAnsi="Arial"/>
                <w:b w:val="false"/>
                <w:bCs w:val="false"/>
                <w:color w:val="1E1B2E"/>
                <w:sz w:val="19"/>
                <w:szCs w:val="19"/>
              </w:rPr>
              <w:t xml:space="preserve">Owner-only</w:t>
            </w:r>
          </w:p>
        </w:tc>
      </w:tr>
      <w:tr>
        <w:trPr>
          <w:tblHeader w:val="false"/>
        </w:trPr>
        <w:tc>
          <w:tcPr>
            <w:tcW w:type="dxa" w:w="2600"/>
            <w:tcBorders>
              <w:top w:val="single" w:color="DDD6FE" w:sz="4"/>
              <w:left w:val="single" w:color="DDD6FE" w:sz="4"/>
              <w:bottom w:val="single" w:color="DDD6FE" w:sz="4"/>
              <w:right w:val="single" w:color="DDD6FE" w:sz="4"/>
            </w:tcBorders>
            <w:shd w:fill="EDE9FE" w:val="clear"/>
            <w:tcMar>
              <w:top w:type="dxa" w:w="70"/>
              <w:left w:type="dxa" w:w="120"/>
              <w:bottom w:type="dxa" w:w="70"/>
              <w:right w:type="dxa" w:w="120"/>
            </w:tcMar>
          </w:tcPr>
          <w:p>
            <w:r>
              <w:rPr>
                <w:rFonts w:ascii="Arial" w:cs="Arial" w:eastAsia="Arial" w:hAnsi="Arial"/>
                <w:b w:val="false"/>
                <w:bCs w:val="false"/>
                <w:color w:val="1E1B2E"/>
                <w:sz w:val="19"/>
                <w:szCs w:val="19"/>
              </w:rPr>
              <w:t xml:space="preserve">Delete Team Member</w:t>
            </w:r>
          </w:p>
        </w:tc>
        <w:tc>
          <w:tcPr>
            <w:tcW w:type="dxa" w:w="1440"/>
            <w:tcBorders>
              <w:top w:val="single" w:color="DDD6FE" w:sz="4"/>
              <w:left w:val="single" w:color="DDD6FE" w:sz="4"/>
              <w:bottom w:val="single" w:color="DDD6FE" w:sz="4"/>
              <w:right w:val="single" w:color="DDD6FE" w:sz="4"/>
            </w:tcBorders>
            <w:shd w:fill="F8F7FF" w:val="clear"/>
            <w:tcMar>
              <w:top w:type="dxa" w:w="70"/>
              <w:left w:type="dxa" w:w="120"/>
              <w:bottom w:type="dxa" w:w="70"/>
              <w:right w:type="dxa" w:w="120"/>
            </w:tcMar>
          </w:tcPr>
          <w:p>
            <w:r>
              <w:rPr>
                <w:rFonts w:ascii="Arial" w:cs="Arial" w:eastAsia="Arial" w:hAnsi="Arial"/>
                <w:b w:val="false"/>
                <w:bCs w:val="false"/>
                <w:color w:val="065F46"/>
                <w:sz w:val="19"/>
                <w:szCs w:val="19"/>
              </w:rPr>
              <w:t xml:space="preserve">✓</w:t>
            </w:r>
          </w:p>
        </w:tc>
        <w:tc>
          <w:tcPr>
            <w:tcW w:type="dxa" w:w="1440"/>
            <w:tcBorders>
              <w:top w:val="single" w:color="DDD6FE" w:sz="4"/>
              <w:left w:val="single" w:color="DDD6FE" w:sz="4"/>
              <w:bottom w:val="single" w:color="DDD6FE" w:sz="4"/>
              <w:right w:val="single" w:color="DDD6FE" w:sz="4"/>
            </w:tcBorders>
            <w:shd w:fill="F8F7FF" w:val="clear"/>
            <w:tcMar>
              <w:top w:type="dxa" w:w="70"/>
              <w:left w:type="dxa" w:w="120"/>
              <w:bottom w:type="dxa" w:w="70"/>
              <w:right w:type="dxa" w:w="120"/>
            </w:tcMar>
          </w:tcPr>
          <w:p>
            <w:r>
              <w:rPr>
                <w:rFonts w:ascii="Arial" w:cs="Arial" w:eastAsia="Arial" w:hAnsi="Arial"/>
                <w:b w:val="false"/>
                <w:bCs w:val="false"/>
                <w:color w:val="DC2626"/>
                <w:sz w:val="19"/>
                <w:szCs w:val="19"/>
              </w:rPr>
              <w:t xml:space="preserve">✗</w:t>
            </w:r>
          </w:p>
        </w:tc>
        <w:tc>
          <w:tcPr>
            <w:tcW w:type="dxa" w:w="1440"/>
            <w:tcBorders>
              <w:top w:val="single" w:color="DDD6FE" w:sz="4"/>
              <w:left w:val="single" w:color="DDD6FE" w:sz="4"/>
              <w:bottom w:val="single" w:color="DDD6FE" w:sz="4"/>
              <w:right w:val="single" w:color="DDD6FE" w:sz="4"/>
            </w:tcBorders>
            <w:shd w:fill="F8F7FF" w:val="clear"/>
            <w:tcMar>
              <w:top w:type="dxa" w:w="70"/>
              <w:left w:type="dxa" w:w="120"/>
              <w:bottom w:type="dxa" w:w="70"/>
              <w:right w:type="dxa" w:w="120"/>
            </w:tcMar>
          </w:tcPr>
          <w:p>
            <w:r>
              <w:rPr>
                <w:rFonts w:ascii="Arial" w:cs="Arial" w:eastAsia="Arial" w:hAnsi="Arial"/>
                <w:b w:val="false"/>
                <w:bCs w:val="false"/>
                <w:color w:val="DC2626"/>
                <w:sz w:val="19"/>
                <w:szCs w:val="19"/>
              </w:rPr>
              <w:t xml:space="preserve">✗</w:t>
            </w:r>
          </w:p>
        </w:tc>
        <w:tc>
          <w:tcPr>
            <w:tcW w:type="dxa" w:w="2440"/>
            <w:tcBorders>
              <w:top w:val="single" w:color="DDD6FE" w:sz="4"/>
              <w:left w:val="single" w:color="DDD6FE" w:sz="4"/>
              <w:bottom w:val="single" w:color="DDD6FE" w:sz="4"/>
              <w:right w:val="single" w:color="DDD6FE" w:sz="4"/>
            </w:tcBorders>
            <w:shd w:fill="F8F7FF" w:val="clear"/>
            <w:tcMar>
              <w:top w:type="dxa" w:w="70"/>
              <w:left w:type="dxa" w:w="120"/>
              <w:bottom w:type="dxa" w:w="70"/>
              <w:right w:type="dxa" w:w="120"/>
            </w:tcMar>
          </w:tcPr>
          <w:p>
            <w:r>
              <w:rPr>
                <w:rFonts w:ascii="Arial" w:cs="Arial" w:eastAsia="Arial" w:hAnsi="Arial"/>
                <w:b w:val="false"/>
                <w:bCs w:val="false"/>
                <w:color w:val="1E1B2E"/>
                <w:sz w:val="19"/>
                <w:szCs w:val="19"/>
              </w:rPr>
              <w:t xml:space="preserve">Owner-only. Soft-deactivate via is_active.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FBE" w:sz="4"/>
              <w:left w:val="single" w:color="7B2FBE" w:sz="4"/>
              <w:bottom w:val="single" w:color="7B2FBE" w:sz="4"/>
              <w:right w:val="single" w:color="7B2FBE" w:sz="4"/>
            </w:tcBorders>
            <w:shd w:fill="EDE9FE" w:val="clear"/>
            <w:tcMar>
              <w:top w:type="dxa" w:w="120"/>
              <w:left w:type="dxa" w:w="240"/>
              <w:bottom w:type="dxa" w:w="120"/>
              <w:right w:type="dxa" w:w="240"/>
            </w:tcMar>
          </w:tcPr>
          <w:p>
            <w:pPr>
              <w:spacing w:after="80" w:before="40"/>
            </w:pPr>
            <w:r>
              <w:rPr>
                <w:rFonts w:ascii="Arial" w:cs="Arial" w:eastAsia="Arial" w:hAnsi="Arial"/>
                <w:b/>
                <w:bCs/>
                <w:color w:val="4C1D95"/>
                <w:sz w:val="22"/>
                <w:szCs w:val="22"/>
              </w:rPr>
              <w:t xml:space="preserve">Custom Role Configuration</w:t>
            </w:r>
          </w:p>
          <w:p>
            <w:pPr>
              <w:spacing w:after="40" w:before="40"/>
            </w:pPr>
            <w:r>
              <w:rPr>
                <w:rFonts w:ascii="Arial" w:cs="Arial" w:eastAsia="Arial" w:hAnsi="Arial"/>
                <w:color w:val="1E1B2E"/>
                <w:sz w:val="21"/>
                <w:szCs w:val="21"/>
              </w:rPr>
              <w:t xml:space="preserve">When an Owner selects the 'Custom' role type, the UI presents four toggle switches corresponding to permissions bundles: (1) Manage Invoices, (2) View Financial Reports, (3) Use PurpBot, (4) Manage Team Members. The resulting permissions JSONB is stored in the roles table. Custom roles cannot be assigned Manual Close or Void permissions regardless of toggle configuration — these remain Owner-only at the API middleware level.</w:t>
            </w:r>
          </w:p>
        </w:tc>
      </w:tr>
    </w:tbl>
    <w:p>
      <w:pPr>
        <w:spacing w:after="80" w:before="80"/>
      </w:pPr>
      <w:r>
        <w:t xml:space="preserve"/>
      </w:r>
    </w:p>
    <w:p>
      <w:pPr>
        <w:pStyle w:val="Heading2"/>
        <w:spacing w:after="120" w:before="320"/>
      </w:pPr>
      <w:r>
        <w:rPr>
          <w:rFonts w:ascii="Arial" w:cs="Arial" w:eastAsia="Arial" w:hAnsi="Arial"/>
          <w:b/>
          <w:bCs/>
          <w:color w:val="7B2FBE"/>
          <w:sz w:val="28"/>
          <w:szCs w:val="28"/>
        </w:rPr>
        <w:t xml:space="preserve">14.2 Team Management Workflow</w:t>
      </w:r>
    </w:p>
    <w:p>
      <w:pPr>
        <w:pStyle w:val="Heading3"/>
        <w:spacing w:after="80" w:before="240"/>
      </w:pPr>
      <w:r>
        <w:rPr>
          <w:rFonts w:ascii="Arial" w:cs="Arial" w:eastAsia="Arial" w:hAnsi="Arial"/>
          <w:b/>
          <w:bCs/>
          <w:color w:val="2D1B6B"/>
          <w:sz w:val="24"/>
          <w:szCs w:val="24"/>
        </w:rPr>
        <w:t xml:space="preserve">14.2.1 Invite Flow</w:t>
      </w:r>
    </w:p>
    <w:p>
      <w:pPr>
        <w:pStyle w:val="ListParagraph"/>
        <w:numPr>
          <w:ilvl w:val="0"/>
          <w:numId w:val="3"/>
        </w:numPr>
        <w:spacing w:after="60" w:before="60"/>
      </w:pPr>
      <w:r>
        <w:rPr>
          <w:rFonts w:ascii="Arial" w:cs="Arial" w:eastAsia="Arial" w:hAnsi="Arial"/>
          <w:color w:val="1E1B2E"/>
          <w:sz w:val="22"/>
          <w:szCs w:val="22"/>
        </w:rPr>
        <w:t xml:space="preserve">Owner navigates to Settings &gt; Team and clicks 'Invite Member.'</w:t>
      </w:r>
    </w:p>
    <w:p>
      <w:pPr>
        <w:pStyle w:val="ListParagraph"/>
        <w:numPr>
          <w:ilvl w:val="0"/>
          <w:numId w:val="3"/>
        </w:numPr>
        <w:spacing w:after="60" w:before="60"/>
      </w:pPr>
      <w:r>
        <w:rPr>
          <w:rFonts w:ascii="Arial" w:cs="Arial" w:eastAsia="Arial" w:hAnsi="Arial"/>
          <w:color w:val="1E1B2E"/>
          <w:sz w:val="22"/>
          <w:szCs w:val="22"/>
        </w:rPr>
        <w:t xml:space="preserve">Owner enters the invitee's email address and selects a role from the dropdown: Owner, Accountant, Viewer, or Custom.</w:t>
      </w:r>
    </w:p>
    <w:p>
      <w:pPr>
        <w:pStyle w:val="ListParagraph"/>
        <w:numPr>
          <w:ilvl w:val="0"/>
          <w:numId w:val="3"/>
        </w:numPr>
        <w:spacing w:after="60" w:before="60"/>
      </w:pPr>
      <w:r>
        <w:rPr>
          <w:rFonts w:ascii="Arial" w:cs="Arial" w:eastAsia="Arial" w:hAnsi="Arial"/>
          <w:color w:val="1E1B2E"/>
          <w:sz w:val="22"/>
          <w:szCs w:val="22"/>
        </w:rPr>
        <w:t xml:space="preserve">If Custom is selected, the four permission toggles are displayed.</w:t>
      </w:r>
    </w:p>
    <w:p>
      <w:pPr>
        <w:pStyle w:val="ListParagraph"/>
        <w:numPr>
          <w:ilvl w:val="0"/>
          <w:numId w:val="3"/>
        </w:numPr>
        <w:spacing w:after="60" w:before="60"/>
      </w:pPr>
      <w:r>
        <w:rPr>
          <w:rFonts w:ascii="Arial" w:cs="Arial" w:eastAsia="Arial" w:hAnsi="Arial"/>
          <w:color w:val="1E1B2E"/>
          <w:sz w:val="22"/>
          <w:szCs w:val="22"/>
        </w:rPr>
        <w:t xml:space="preserve">Owner clicks 'Send Invite.' System generates a unique invite token (UUID-based, 48-hour expiry) and sends an invite email.</w:t>
      </w:r>
    </w:p>
    <w:p>
      <w:pPr>
        <w:pStyle w:val="ListParagraph"/>
        <w:numPr>
          <w:ilvl w:val="0"/>
          <w:numId w:val="3"/>
        </w:numPr>
        <w:spacing w:after="60" w:before="60"/>
      </w:pPr>
      <w:r>
        <w:rPr>
          <w:rFonts w:ascii="Arial" w:cs="Arial" w:eastAsia="Arial" w:hAnsi="Arial"/>
          <w:color w:val="1E1B2E"/>
          <w:sz w:val="22"/>
          <w:szCs w:val="22"/>
        </w:rPr>
        <w:t xml:space="preserve">The invite is logged in a pending_invites table with status = 'pending'.</w:t>
      </w:r>
    </w:p>
    <w:p>
      <w:pPr>
        <w:spacing w:after="80" w:before="80"/>
      </w:pPr>
      <w:r>
        <w:t xml:space="preserve"/>
      </w:r>
    </w:p>
    <w:p>
      <w:pPr>
        <w:pStyle w:val="Heading3"/>
        <w:spacing w:after="80" w:before="240"/>
      </w:pPr>
      <w:r>
        <w:rPr>
          <w:rFonts w:ascii="Arial" w:cs="Arial" w:eastAsia="Arial" w:hAnsi="Arial"/>
          <w:b/>
          <w:bCs/>
          <w:color w:val="2D1B6B"/>
          <w:sz w:val="24"/>
          <w:szCs w:val="24"/>
        </w:rPr>
        <w:t xml:space="preserve">14.2.2 Invite Acceptance — Two-Path Resolution</w:t>
      </w:r>
    </w:p>
    <w:p>
      <w:pPr>
        <w:spacing w:after="80" w:before="80"/>
      </w:pPr>
      <w:r>
        <w:rPr>
          <w:rFonts w:ascii="Arial" w:cs="Arial" w:eastAsia="Arial" w:hAnsi="Arial"/>
          <w:color w:val="1E1B2E"/>
          <w:sz w:val="22"/>
          <w:szCs w:val="22"/>
        </w:rPr>
        <w:t xml:space="preserve">When the invitee clicks the link in their invite email, the system checks whether the email address exists in auth.users: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6FE" w:sz="4"/>
              <w:left w:val="single" w:color="DDD6FE" w:sz="4"/>
              <w:bottom w:val="single" w:color="DDD6FE" w:sz="4"/>
              <w:right w:val="single" w:color="DDD6FE" w:sz="4"/>
            </w:tcBorders>
            <w:shd w:fill="2D1B6B" w:val="clear"/>
            <w:tcMar>
              <w:top w:type="dxa" w:w="80"/>
              <w:left w:type="dxa" w:w="150"/>
              <w:bottom w:type="dxa" w:w="80"/>
              <w:right w:type="dxa" w:w="150"/>
            </w:tcMar>
          </w:tcPr>
          <w:p>
            <w:r>
              <w:rPr>
                <w:rFonts w:ascii="Arial" w:cs="Arial" w:eastAsia="Arial" w:hAnsi="Arial"/>
                <w:b/>
                <w:bCs/>
                <w:color w:val="FFFFFF"/>
                <w:sz w:val="20"/>
                <w:szCs w:val="20"/>
              </w:rPr>
              <w:t xml:space="preserve">Path</w:t>
            </w:r>
          </w:p>
        </w:tc>
        <w:tc>
          <w:tcPr>
            <w:tcW w:type="dxa" w:w="6960"/>
            <w:tcBorders>
              <w:top w:val="single" w:color="DDD6FE" w:sz="4"/>
              <w:left w:val="single" w:color="DDD6FE" w:sz="4"/>
              <w:bottom w:val="single" w:color="DDD6FE" w:sz="4"/>
              <w:right w:val="single" w:color="DDD6FE" w:sz="4"/>
            </w:tcBorders>
            <w:shd w:fill="7B2FBE" w:val="clear"/>
            <w:tcMar>
              <w:top w:type="dxa" w:w="80"/>
              <w:left w:type="dxa" w:w="150"/>
              <w:bottom w:type="dxa" w:w="80"/>
              <w:right w:type="dxa" w:w="150"/>
            </w:tcMar>
          </w:tcPr>
          <w:p>
            <w:r>
              <w:rPr>
                <w:rFonts w:ascii="Arial" w:cs="Arial" w:eastAsia="Arial" w:hAnsi="Arial"/>
                <w:color w:val="FFFFFF"/>
                <w:sz w:val="20"/>
                <w:szCs w:val="20"/>
              </w:rPr>
              <w:t xml:space="preserve">Flow</w:t>
            </w:r>
          </w:p>
        </w:tc>
      </w:tr>
      <w:tr>
        <w:trPr>
          <w:tblHeader w:val="false"/>
        </w:trPr>
        <w:tc>
          <w:tcPr>
            <w:tcW w:type="dxa" w:w="24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b/>
                <w:bCs/>
                <w:color w:val="2D1B6B"/>
                <w:sz w:val="20"/>
                <w:szCs w:val="20"/>
              </w:rPr>
              <w:t xml:space="preserve">Existing PurpLedger Account</w:t>
            </w:r>
          </w:p>
        </w:tc>
        <w:tc>
          <w:tcPr>
            <w:tcW w:type="dxa" w:w="69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color w:val="1E1B2E"/>
                <w:sz w:val="20"/>
                <w:szCs w:val="20"/>
              </w:rPr>
              <w:t xml:space="preserve">User is directed to the login page with a notification: 'You have been invited to join [Business Name] as [Role]. Log in to accept.' On successful login, merchant_team record is created and invite status = 'accepted'. User immediately sees the merchant portal in their account switcher.</w:t>
            </w:r>
          </w:p>
        </w:tc>
      </w:tr>
      <w:tr>
        <w:trPr>
          <w:tblHeader w:val="false"/>
        </w:trPr>
        <w:tc>
          <w:tcPr>
            <w:tcW w:type="dxa" w:w="2400"/>
            <w:tcBorders>
              <w:top w:val="single" w:color="DDD6FE" w:sz="4"/>
              <w:left w:val="single" w:color="DDD6FE" w:sz="4"/>
              <w:bottom w:val="single" w:color="DDD6FE" w:sz="4"/>
              <w:right w:val="single" w:color="DDD6FE" w:sz="4"/>
            </w:tcBorders>
            <w:shd w:fill="EDE9FE" w:val="clear"/>
            <w:tcMar>
              <w:top w:type="dxa" w:w="80"/>
              <w:left w:type="dxa" w:w="150"/>
              <w:bottom w:type="dxa" w:w="80"/>
              <w:right w:type="dxa" w:w="150"/>
            </w:tcMar>
          </w:tcPr>
          <w:p>
            <w:r>
              <w:rPr>
                <w:rFonts w:ascii="Arial" w:cs="Arial" w:eastAsia="Arial" w:hAnsi="Arial"/>
                <w:b/>
                <w:bCs/>
                <w:color w:val="2D1B6B"/>
                <w:sz w:val="20"/>
                <w:szCs w:val="20"/>
              </w:rPr>
              <w:t xml:space="preserve">New User (No Existing Account)</w:t>
            </w:r>
          </w:p>
        </w:tc>
        <w:tc>
          <w:tcPr>
            <w:tcW w:type="dxa" w:w="69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color w:val="1E1B2E"/>
                <w:sz w:val="20"/>
                <w:szCs w:val="20"/>
              </w:rPr>
              <w:t xml:space="preserve">User is directed to a streamlined signup page pre-filled with their email address. On account creation, merchant_team record is automatically created with the pre-configured role. No additional invite acceptance step required. Invite status = 'accepted'.</w:t>
            </w:r>
          </w:p>
        </w:tc>
      </w:tr>
      <w:tr>
        <w:trPr>
          <w:tblHeader w:val="false"/>
        </w:trPr>
        <w:tc>
          <w:tcPr>
            <w:tcW w:type="dxa" w:w="24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b/>
                <w:bCs/>
                <w:color w:val="2D1B6B"/>
                <w:sz w:val="20"/>
                <w:szCs w:val="20"/>
              </w:rPr>
              <w:t xml:space="preserve">Expired Invite (48h elapsed)</w:t>
            </w:r>
          </w:p>
        </w:tc>
        <w:tc>
          <w:tcPr>
            <w:tcW w:type="dxa" w:w="69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color w:val="1E1B2E"/>
                <w:sz w:val="20"/>
                <w:szCs w:val="20"/>
              </w:rPr>
              <w:t xml:space="preserve">Link returns a friendly error page: 'This invite has expired. Ask your team owner to send a new invite.' Expired invites are auto-cleaned from pending_invites after 7 days.</w:t>
            </w:r>
          </w:p>
        </w:tc>
      </w:tr>
    </w:tbl>
    <w:p>
      <w:pPr>
        <w:spacing w:after="80" w:before="80"/>
      </w:pPr>
      <w:r>
        <w:t xml:space="preserve"/>
      </w:r>
    </w:p>
    <w:p>
      <w:pPr>
        <w:pStyle w:val="Heading3"/>
        <w:spacing w:after="80" w:before="240"/>
      </w:pPr>
      <w:r>
        <w:rPr>
          <w:rFonts w:ascii="Arial" w:cs="Arial" w:eastAsia="Arial" w:hAnsi="Arial"/>
          <w:b/>
          <w:bCs/>
          <w:color w:val="2D1B6B"/>
          <w:sz w:val="24"/>
          <w:szCs w:val="24"/>
        </w:rPr>
        <w:t xml:space="preserve">14.2.3 Team Member Management</w:t>
      </w:r>
    </w:p>
    <w:p>
      <w:pPr>
        <w:pStyle w:val="ListParagraph"/>
        <w:numPr>
          <w:ilvl w:val="0"/>
          <w:numId w:val="2"/>
        </w:numPr>
        <w:spacing w:after="60" w:before="60"/>
      </w:pPr>
      <w:r>
        <w:rPr>
          <w:rFonts w:ascii="Arial" w:cs="Arial" w:eastAsia="Arial" w:hAnsi="Arial"/>
          <w:color w:val="1E1B2E"/>
          <w:sz w:val="22"/>
          <w:szCs w:val="22"/>
        </w:rPr>
        <w:t xml:space="preserve">Owner can view all team members, their roles, and their last-active timestamps.</w:t>
      </w:r>
    </w:p>
    <w:p>
      <w:pPr>
        <w:pStyle w:val="ListParagraph"/>
        <w:numPr>
          <w:ilvl w:val="0"/>
          <w:numId w:val="2"/>
        </w:numPr>
        <w:spacing w:after="60" w:before="60"/>
      </w:pPr>
      <w:r>
        <w:rPr>
          <w:rFonts w:ascii="Arial" w:cs="Arial" w:eastAsia="Arial" w:hAnsi="Arial"/>
          <w:color w:val="1E1B2E"/>
          <w:sz w:val="22"/>
          <w:szCs w:val="22"/>
        </w:rPr>
        <w:t xml:space="preserve">Owner can change a team member's role at any time. Change takes effect on their next API request.</w:t>
      </w:r>
    </w:p>
    <w:p>
      <w:pPr>
        <w:pStyle w:val="ListParagraph"/>
        <w:numPr>
          <w:ilvl w:val="0"/>
          <w:numId w:val="2"/>
        </w:numPr>
        <w:spacing w:after="60" w:before="60"/>
      </w:pPr>
      <w:r>
        <w:rPr>
          <w:rFonts w:ascii="Arial" w:cs="Arial" w:eastAsia="Arial" w:hAnsi="Arial"/>
          <w:color w:val="1E1B2E"/>
          <w:sz w:val="22"/>
          <w:szCs w:val="22"/>
        </w:rPr>
        <w:t xml:space="preserve">Owner can deactivate a team member (sets is_active = false on merchant_team). Deactivated members cannot log in to the portal. Their past actions remain in audit_logs.</w:t>
      </w:r>
    </w:p>
    <w:p>
      <w:pPr>
        <w:pStyle w:val="ListParagraph"/>
        <w:numPr>
          <w:ilvl w:val="0"/>
          <w:numId w:val="2"/>
        </w:numPr>
        <w:spacing w:after="60" w:before="60"/>
      </w:pPr>
      <w:r>
        <w:rPr>
          <w:rFonts w:ascii="Arial" w:cs="Arial" w:eastAsia="Arial" w:hAnsi="Arial"/>
          <w:color w:val="1E1B2E"/>
          <w:sz w:val="22"/>
          <w:szCs w:val="22"/>
        </w:rPr>
        <w:t xml:space="preserve">An Owner cannot deactivate themselves. At least one Owner must always be active on a merchant account.</w:t>
      </w:r>
    </w:p>
    <w:p>
      <w:pPr>
        <w:spacing w:after="80" w:before="80"/>
      </w:pPr>
      <w:r>
        <w:t xml:space="preserve"/>
      </w:r>
    </w:p>
    <w:p>
      <w:pPr>
        <w:pStyle w:val="Heading2"/>
        <w:spacing w:after="120" w:before="320"/>
      </w:pPr>
      <w:r>
        <w:rPr>
          <w:rFonts w:ascii="Arial" w:cs="Arial" w:eastAsia="Arial" w:hAnsi="Arial"/>
          <w:b/>
          <w:bCs/>
          <w:color w:val="7B2FBE"/>
          <w:sz w:val="28"/>
          <w:szCs w:val="28"/>
        </w:rPr>
        <w:t xml:space="preserve">14.3 Database Schema (New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FBE" w:sz="4"/>
              <w:left w:val="single" w:color="7B2FBE" w:sz="4"/>
              <w:bottom w:val="single" w:color="7B2FBE" w:sz="4"/>
              <w:right w:val="single" w:color="7B2FBE" w:sz="4"/>
            </w:tcBorders>
            <w:shd w:fill="1E1B2E" w:val="clear"/>
            <w:tcMar>
              <w:top w:type="dxa" w:w="160"/>
              <w:left w:type="dxa" w:w="240"/>
              <w:bottom w:type="dxa" w:w="160"/>
              <w:right w:type="dxa" w:w="240"/>
            </w:tcMar>
          </w:tcPr>
          <w:p>
            <w:r>
              <w:rPr>
                <w:rFonts w:ascii="Courier New" w:cs="Courier New" w:eastAsia="Courier New" w:hAnsi="Courier New"/>
                <w:color w:val="C4B5FD"/>
                <w:sz w:val="19"/>
                <w:szCs w:val="19"/>
              </w:rPr>
              <w:t xml:space="preserve">-- Roles Table</w:t>
            </w:r>
          </w:p>
          <w:p>
            <w:r>
              <w:rPr>
                <w:rFonts w:ascii="Courier New" w:cs="Courier New" w:eastAsia="Courier New" w:hAnsi="Courier New"/>
                <w:color w:val="C4B5FD"/>
                <w:sz w:val="19"/>
                <w:szCs w:val="19"/>
              </w:rPr>
              <w:t xml:space="preserve">-- CORRECTION: UUID primary key for schema consistency (was SERIAL in source)</w:t>
            </w:r>
          </w:p>
          <w:p>
            <w:r>
              <w:rPr>
                <w:rFonts w:ascii="Courier New" w:cs="Courier New" w:eastAsia="Courier New" w:hAnsi="Courier New"/>
                <w:color w:val="C4B5FD"/>
                <w:sz w:val="19"/>
                <w:szCs w:val="19"/>
              </w:rPr>
              <w:t xml:space="preserve">CREATE TABLE roles (</w:t>
            </w:r>
          </w:p>
          <w:p>
            <w:r>
              <w:rPr>
                <w:rFonts w:ascii="Courier New" w:cs="Courier New" w:eastAsia="Courier New" w:hAnsi="Courier New"/>
                <w:color w:val="C4B5FD"/>
                <w:sz w:val="19"/>
                <w:szCs w:val="19"/>
              </w:rPr>
              <w:t xml:space="preserve">  id UUID PRIMARY KEY DEFAULT gen_random_uuid(),</w:t>
            </w:r>
          </w:p>
          <w:p>
            <w:r>
              <w:rPr>
                <w:rFonts w:ascii="Courier New" w:cs="Courier New" w:eastAsia="Courier New" w:hAnsi="Courier New"/>
                <w:color w:val="C4B5FD"/>
                <w:sz w:val="19"/>
                <w:szCs w:val="19"/>
              </w:rPr>
              <w:t xml:space="preserve">  name TEXT UNIQUE NOT NULL,  -- 'owner', 'accountant', 'viewer', 'custom'</w:t>
            </w:r>
          </w:p>
          <w:p>
            <w:r>
              <w:rPr>
                <w:rFonts w:ascii="Courier New" w:cs="Courier New" w:eastAsia="Courier New" w:hAnsi="Courier New"/>
                <w:color w:val="C4B5FD"/>
                <w:sz w:val="19"/>
                <w:szCs w:val="19"/>
              </w:rPr>
              <w:t xml:space="preserve">  permissions JSONB NOT NULL, -- e.g., {"can_edit_invoice": true, "can_void_invoice": false}</w:t>
            </w:r>
          </w:p>
          <w:p>
            <w:r>
              <w:rPr>
                <w:rFonts w:ascii="Courier New" w:cs="Courier New" w:eastAsia="Courier New" w:hAnsi="Courier New"/>
                <w:color w:val="C4B5FD"/>
                <w:sz w:val="19"/>
                <w:szCs w:val="19"/>
              </w:rPr>
              <w:t xml:space="preserve">  is_system_role BOOLEAN NOT NULL DEFAULT false,  -- true for predefined roles</w:t>
            </w:r>
          </w:p>
          <w:p>
            <w:r>
              <w:rPr>
                <w:rFonts w:ascii="Courier New" w:cs="Courier New" w:eastAsia="Courier New" w:hAnsi="Courier New"/>
                <w:color w:val="C4B5FD"/>
                <w:sz w:val="19"/>
                <w:szCs w:val="19"/>
              </w:rPr>
              <w:t xml:space="preserve">  created_at TIMESTAMPTZ DEFAULT now()</w:t>
            </w:r>
          </w:p>
          <w:p>
            <w:r>
              <w:rPr>
                <w:rFonts w:ascii="Courier New" w:cs="Courier New" w:eastAsia="Courier New" w:hAnsi="Courier New"/>
                <w:color w:val="C4B5FD"/>
                <w:sz w:val="19"/>
                <w:szCs w:val="19"/>
              </w:rPr>
              <w:t xml:space="preserve">);</w:t>
            </w:r>
          </w:p>
          <w:p>
            <w:r>
              <w:rPr>
                <w:rFonts w:ascii="Courier New" w:cs="Courier New" w:eastAsia="Courier New" w:hAnsi="Courier New"/>
                <w:color w:val="C4B5FD"/>
                <w:sz w:val="19"/>
                <w:szCs w:val="19"/>
              </w:rPr>
              <w:t xml:space="preserve"/>
            </w:r>
          </w:p>
          <w:p>
            <w:r>
              <w:rPr>
                <w:rFonts w:ascii="Courier New" w:cs="Courier New" w:eastAsia="Courier New" w:hAnsi="Courier New"/>
                <w:color w:val="C4B5FD"/>
                <w:sz w:val="19"/>
                <w:szCs w:val="19"/>
              </w:rPr>
              <w:t xml:space="preserve">-- Merchant Team Members</w:t>
            </w:r>
          </w:p>
          <w:p>
            <w:r>
              <w:rPr>
                <w:rFonts w:ascii="Courier New" w:cs="Courier New" w:eastAsia="Courier New" w:hAnsi="Courier New"/>
                <w:color w:val="C4B5FD"/>
                <w:sz w:val="19"/>
                <w:szCs w:val="19"/>
              </w:rPr>
              <w:t xml:space="preserve">CREATE TABLE merchant_team (</w:t>
            </w:r>
          </w:p>
          <w:p>
            <w:r>
              <w:rPr>
                <w:rFonts w:ascii="Courier New" w:cs="Courier New" w:eastAsia="Courier New" w:hAnsi="Courier New"/>
                <w:color w:val="C4B5FD"/>
                <w:sz w:val="19"/>
                <w:szCs w:val="19"/>
              </w:rPr>
              <w:t xml:space="preserve">  id UUID PRIMARY KEY DEFAULT gen_random_uuid(),</w:t>
            </w:r>
          </w:p>
          <w:p>
            <w:r>
              <w:rPr>
                <w:rFonts w:ascii="Courier New" w:cs="Courier New" w:eastAsia="Courier New" w:hAnsi="Courier New"/>
                <w:color w:val="C4B5FD"/>
                <w:sz w:val="19"/>
                <w:szCs w:val="19"/>
              </w:rPr>
              <w:t xml:space="preserve">  merchant_id UUID NOT NULL REFERENCES merchants(id) ON DELETE CASCADE,</w:t>
            </w:r>
          </w:p>
          <w:p>
            <w:r>
              <w:rPr>
                <w:rFonts w:ascii="Courier New" w:cs="Courier New" w:eastAsia="Courier New" w:hAnsi="Courier New"/>
                <w:color w:val="C4B5FD"/>
                <w:sz w:val="19"/>
                <w:szCs w:val="19"/>
              </w:rPr>
              <w:t xml:space="preserve">  user_id UUID NOT NULL REFERENCES auth.users(id) ON DELETE CASCADE,</w:t>
            </w:r>
          </w:p>
          <w:p>
            <w:r>
              <w:rPr>
                <w:rFonts w:ascii="Courier New" w:cs="Courier New" w:eastAsia="Courier New" w:hAnsi="Courier New"/>
                <w:color w:val="C4B5FD"/>
                <w:sz w:val="19"/>
                <w:szCs w:val="19"/>
              </w:rPr>
              <w:t xml:space="preserve">  role_id UUID NOT NULL REFERENCES roles(id),</w:t>
            </w:r>
          </w:p>
          <w:p>
            <w:r>
              <w:rPr>
                <w:rFonts w:ascii="Courier New" w:cs="Courier New" w:eastAsia="Courier New" w:hAnsi="Courier New"/>
                <w:color w:val="C4B5FD"/>
                <w:sz w:val="19"/>
                <w:szCs w:val="19"/>
              </w:rPr>
              <w:t xml:space="preserve">  is_active BOOLEAN NOT NULL DEFAULT true,</w:t>
            </w:r>
          </w:p>
          <w:p>
            <w:r>
              <w:rPr>
                <w:rFonts w:ascii="Courier New" w:cs="Courier New" w:eastAsia="Courier New" w:hAnsi="Courier New"/>
                <w:color w:val="C4B5FD"/>
                <w:sz w:val="19"/>
                <w:szCs w:val="19"/>
              </w:rPr>
              <w:t xml:space="preserve">  invited_by UUID REFERENCES auth.users(id),  -- the Owner who sent the invite</w:t>
            </w:r>
          </w:p>
          <w:p>
            <w:r>
              <w:rPr>
                <w:rFonts w:ascii="Courier New" w:cs="Courier New" w:eastAsia="Courier New" w:hAnsi="Courier New"/>
                <w:color w:val="C4B5FD"/>
                <w:sz w:val="19"/>
                <w:szCs w:val="19"/>
              </w:rPr>
              <w:t xml:space="preserve">  added_at TIMESTAMPTZ NOT NULL DEFAULT now(),</w:t>
            </w:r>
          </w:p>
          <w:p>
            <w:r>
              <w:rPr>
                <w:rFonts w:ascii="Courier New" w:cs="Courier New" w:eastAsia="Courier New" w:hAnsi="Courier New"/>
                <w:color w:val="C4B5FD"/>
                <w:sz w:val="19"/>
                <w:szCs w:val="19"/>
              </w:rPr>
              <w:t xml:space="preserve">  last_active_at TIMESTAMPTZ,</w:t>
            </w:r>
          </w:p>
          <w:p>
            <w:r>
              <w:rPr>
                <w:rFonts w:ascii="Courier New" w:cs="Courier New" w:eastAsia="Courier New" w:hAnsi="Courier New"/>
                <w:color w:val="C4B5FD"/>
                <w:sz w:val="19"/>
                <w:szCs w:val="19"/>
              </w:rPr>
              <w:t xml:space="preserve">  UNIQUE (merchant_id, user_id)  -- One role per user per merchant</w:t>
            </w:r>
          </w:p>
          <w:p>
            <w:r>
              <w:rPr>
                <w:rFonts w:ascii="Courier New" w:cs="Courier New" w:eastAsia="Courier New" w:hAnsi="Courier New"/>
                <w:color w:val="C4B5FD"/>
                <w:sz w:val="19"/>
                <w:szCs w:val="19"/>
              </w:rPr>
              <w:t xml:space="preserve">);</w:t>
            </w:r>
          </w:p>
          <w:p>
            <w:r>
              <w:rPr>
                <w:rFonts w:ascii="Courier New" w:cs="Courier New" w:eastAsia="Courier New" w:hAnsi="Courier New"/>
                <w:color w:val="C4B5FD"/>
                <w:sz w:val="19"/>
                <w:szCs w:val="19"/>
              </w:rPr>
              <w:t xml:space="preserve"/>
            </w:r>
          </w:p>
          <w:p>
            <w:r>
              <w:rPr>
                <w:rFonts w:ascii="Courier New" w:cs="Courier New" w:eastAsia="Courier New" w:hAnsi="Courier New"/>
                <w:color w:val="C4B5FD"/>
                <w:sz w:val="19"/>
                <w:szCs w:val="19"/>
              </w:rPr>
              <w:t xml:space="preserve">-- Pending Invites</w:t>
            </w:r>
          </w:p>
          <w:p>
            <w:r>
              <w:rPr>
                <w:rFonts w:ascii="Courier New" w:cs="Courier New" w:eastAsia="Courier New" w:hAnsi="Courier New"/>
                <w:color w:val="C4B5FD"/>
                <w:sz w:val="19"/>
                <w:szCs w:val="19"/>
              </w:rPr>
              <w:t xml:space="preserve">CREATE TABLE pending_invites (</w:t>
            </w:r>
          </w:p>
          <w:p>
            <w:r>
              <w:rPr>
                <w:rFonts w:ascii="Courier New" w:cs="Courier New" w:eastAsia="Courier New" w:hAnsi="Courier New"/>
                <w:color w:val="C4B5FD"/>
                <w:sz w:val="19"/>
                <w:szCs w:val="19"/>
              </w:rPr>
              <w:t xml:space="preserve">  id UUID PRIMARY KEY DEFAULT gen_random_uuid(),</w:t>
            </w:r>
          </w:p>
          <w:p>
            <w:r>
              <w:rPr>
                <w:rFonts w:ascii="Courier New" w:cs="Courier New" w:eastAsia="Courier New" w:hAnsi="Courier New"/>
                <w:color w:val="C4B5FD"/>
                <w:sz w:val="19"/>
                <w:szCs w:val="19"/>
              </w:rPr>
              <w:t xml:space="preserve">  merchant_id UUID NOT NULL REFERENCES merchants(id) ON DELETE CASCADE,</w:t>
            </w:r>
          </w:p>
          <w:p>
            <w:r>
              <w:rPr>
                <w:rFonts w:ascii="Courier New" w:cs="Courier New" w:eastAsia="Courier New" w:hAnsi="Courier New"/>
                <w:color w:val="C4B5FD"/>
                <w:sz w:val="19"/>
                <w:szCs w:val="19"/>
              </w:rPr>
              <w:t xml:space="preserve">  invited_email TEXT NOT NULL,</w:t>
            </w:r>
          </w:p>
          <w:p>
            <w:r>
              <w:rPr>
                <w:rFonts w:ascii="Courier New" w:cs="Courier New" w:eastAsia="Courier New" w:hAnsi="Courier New"/>
                <w:color w:val="C4B5FD"/>
                <w:sz w:val="19"/>
                <w:szCs w:val="19"/>
              </w:rPr>
              <w:t xml:space="preserve">  role_id UUID NOT NULL REFERENCES roles(id),</w:t>
            </w:r>
          </w:p>
          <w:p>
            <w:r>
              <w:rPr>
                <w:rFonts w:ascii="Courier New" w:cs="Courier New" w:eastAsia="Courier New" w:hAnsi="Courier New"/>
                <w:color w:val="C4B5FD"/>
                <w:sz w:val="19"/>
                <w:szCs w:val="19"/>
              </w:rPr>
              <w:t xml:space="preserve">  token TEXT NOT NULL UNIQUE,  -- Cryptographically random, used in invite URL</w:t>
            </w:r>
          </w:p>
          <w:p>
            <w:r>
              <w:rPr>
                <w:rFonts w:ascii="Courier New" w:cs="Courier New" w:eastAsia="Courier New" w:hAnsi="Courier New"/>
                <w:color w:val="C4B5FD"/>
                <w:sz w:val="19"/>
                <w:szCs w:val="19"/>
              </w:rPr>
              <w:t xml:space="preserve">  status TEXT NOT NULL DEFAULT 'pending',  -- 'pending', 'accepted', 'expired'</w:t>
            </w:r>
          </w:p>
          <w:p>
            <w:r>
              <w:rPr>
                <w:rFonts w:ascii="Courier New" w:cs="Courier New" w:eastAsia="Courier New" w:hAnsi="Courier New"/>
                <w:color w:val="C4B5FD"/>
                <w:sz w:val="19"/>
                <w:szCs w:val="19"/>
              </w:rPr>
              <w:t xml:space="preserve">  expires_at TIMESTAMPTZ NOT NULL,  -- now() + INTERVAL '48 hours'</w:t>
            </w:r>
          </w:p>
          <w:p>
            <w:r>
              <w:rPr>
                <w:rFonts w:ascii="Courier New" w:cs="Courier New" w:eastAsia="Courier New" w:hAnsi="Courier New"/>
                <w:color w:val="C4B5FD"/>
                <w:sz w:val="19"/>
                <w:szCs w:val="19"/>
              </w:rPr>
              <w:t xml:space="preserve">  created_by UUID NOT NULL REFERENCES auth.users(id),</w:t>
            </w:r>
          </w:p>
          <w:p>
            <w:r>
              <w:rPr>
                <w:rFonts w:ascii="Courier New" w:cs="Courier New" w:eastAsia="Courier New" w:hAnsi="Courier New"/>
                <w:color w:val="C4B5FD"/>
                <w:sz w:val="19"/>
                <w:szCs w:val="19"/>
              </w:rPr>
              <w:t xml:space="preserve">  created_at TIMESTAMPTZ NOT NULL DEFAULT now()</w:t>
            </w:r>
          </w:p>
          <w:p>
            <w:r>
              <w:rPr>
                <w:rFonts w:ascii="Courier New" w:cs="Courier New" w:eastAsia="Courier New" w:hAnsi="Courier New"/>
                <w:color w:val="C4B5FD"/>
                <w:sz w:val="19"/>
                <w:szCs w:val="19"/>
              </w:rPr>
              <w:t xml:space="preserve">);</w:t>
            </w:r>
          </w:p>
        </w:tc>
      </w:tr>
    </w:tbl>
    <w:p>
      <w:pPr>
        <w:spacing w:after="80" w:before="80"/>
      </w:pPr>
      <w:r>
        <w:t xml:space="preserve"/>
      </w:r>
    </w:p>
    <w:p>
      <w:pPr>
        <w:pStyle w:val="Heading2"/>
        <w:spacing w:after="120" w:before="320"/>
      </w:pPr>
      <w:r>
        <w:rPr>
          <w:rFonts w:ascii="Arial" w:cs="Arial" w:eastAsia="Arial" w:hAnsi="Arial"/>
          <w:b/>
          <w:bCs/>
          <w:color w:val="7B2FBE"/>
          <w:sz w:val="28"/>
          <w:szCs w:val="28"/>
        </w:rPr>
        <w:t xml:space="preserve">14.4 Implementation Strategy</w:t>
      </w:r>
    </w:p>
    <w:p>
      <w:pPr>
        <w:pStyle w:val="Heading3"/>
        <w:spacing w:after="80" w:before="240"/>
      </w:pPr>
      <w:r>
        <w:rPr>
          <w:rFonts w:ascii="Arial" w:cs="Arial" w:eastAsia="Arial" w:hAnsi="Arial"/>
          <w:b/>
          <w:bCs/>
          <w:color w:val="2D1B6B"/>
          <w:sz w:val="24"/>
          <w:szCs w:val="24"/>
        </w:rPr>
        <w:t xml:space="preserve">14.4.1 Frontend (useAuth Hook)</w:t>
      </w:r>
    </w:p>
    <w:p>
      <w:pPr>
        <w:pStyle w:val="ListParagraph"/>
        <w:numPr>
          <w:ilvl w:val="0"/>
          <w:numId w:val="2"/>
        </w:numPr>
        <w:spacing w:after="60" w:before="60"/>
      </w:pPr>
      <w:r>
        <w:rPr>
          <w:rFonts w:ascii="Arial" w:cs="Arial" w:eastAsia="Arial" w:hAnsi="Arial"/>
          <w:color w:val="1E1B2E"/>
          <w:sz w:val="22"/>
          <w:szCs w:val="22"/>
        </w:rPr>
        <w:t xml:space="preserve">A global useAuth hook reads the current user's role from merchant_team on session load.</w:t>
      </w:r>
    </w:p>
    <w:p>
      <w:pPr>
        <w:pStyle w:val="ListParagraph"/>
        <w:numPr>
          <w:ilvl w:val="0"/>
          <w:numId w:val="2"/>
        </w:numPr>
        <w:spacing w:after="60" w:before="60"/>
      </w:pPr>
      <w:r>
        <w:rPr>
          <w:rFonts w:ascii="Arial" w:cs="Arial" w:eastAsia="Arial" w:hAnsi="Arial"/>
          <w:color w:val="1E1B2E"/>
          <w:sz w:val="22"/>
          <w:szCs w:val="22"/>
        </w:rPr>
        <w:t xml:space="preserve">The hook exposes a can(permission: string): boolean helper used across all components.</w:t>
      </w:r>
    </w:p>
    <w:p>
      <w:pPr>
        <w:pStyle w:val="ListParagraph"/>
        <w:numPr>
          <w:ilvl w:val="0"/>
          <w:numId w:val="2"/>
        </w:numPr>
        <w:spacing w:after="60" w:before="60"/>
      </w:pPr>
      <w:r>
        <w:rPr>
          <w:rFonts w:ascii="Arial" w:cs="Arial" w:eastAsia="Arial" w:hAnsi="Arial"/>
          <w:color w:val="1E1B2E"/>
          <w:sz w:val="22"/>
          <w:szCs w:val="22"/>
        </w:rPr>
        <w:t xml:space="preserve">Usage example: {can('edit_invoice') &amp;&amp; &lt;Button&gt;Edit&lt;/Button&gt;} — gates UI elements declaratively.</w:t>
      </w:r>
    </w:p>
    <w:p>
      <w:pPr>
        <w:pStyle w:val="ListParagraph"/>
        <w:numPr>
          <w:ilvl w:val="0"/>
          <w:numId w:val="2"/>
        </w:numPr>
        <w:spacing w:after="60" w:before="60"/>
      </w:pPr>
      <w:r>
        <w:rPr>
          <w:rFonts w:ascii="Arial" w:cs="Arial" w:eastAsia="Arial" w:hAnsi="Arial"/>
          <w:color w:val="1E1B2E"/>
          <w:sz w:val="22"/>
          <w:szCs w:val="22"/>
        </w:rPr>
        <w:t xml:space="preserve">The 'Void' and 'Close Manually' buttons check can('manual_close') — which returns false for all non-Owner roles.</w:t>
      </w:r>
    </w:p>
    <w:p>
      <w:pPr>
        <w:spacing w:after="80" w:before="80"/>
      </w:pPr>
      <w:r>
        <w:t xml:space="preserve"/>
      </w:r>
    </w:p>
    <w:p>
      <w:pPr>
        <w:pStyle w:val="Heading3"/>
        <w:spacing w:after="80" w:before="240"/>
      </w:pPr>
      <w:r>
        <w:rPr>
          <w:rFonts w:ascii="Arial" w:cs="Arial" w:eastAsia="Arial" w:hAnsi="Arial"/>
          <w:b/>
          <w:bCs/>
          <w:color w:val="2D1B6B"/>
          <w:sz w:val="24"/>
          <w:szCs w:val="24"/>
        </w:rPr>
        <w:t xml:space="preserve">14.4.2 API Middleware (Server-Side Enforcement)</w:t>
      </w:r>
    </w:p>
    <w:p>
      <w:pPr>
        <w:pStyle w:val="ListParagraph"/>
        <w:numPr>
          <w:ilvl w:val="0"/>
          <w:numId w:val="2"/>
        </w:numPr>
        <w:spacing w:after="60" w:before="60"/>
      </w:pPr>
      <w:r>
        <w:rPr>
          <w:rFonts w:ascii="Arial" w:cs="Arial" w:eastAsia="Arial" w:hAnsi="Arial"/>
          <w:color w:val="1E1B2E"/>
          <w:sz w:val="22"/>
          <w:szCs w:val="22"/>
        </w:rPr>
        <w:t xml:space="preserve">Every API route that mutates data runs a checkPermission(userId, merchantId, requiredPermission) middleware function.</w:t>
      </w:r>
    </w:p>
    <w:p>
      <w:pPr>
        <w:pStyle w:val="ListParagraph"/>
        <w:numPr>
          <w:ilvl w:val="0"/>
          <w:numId w:val="2"/>
        </w:numPr>
        <w:spacing w:after="60" w:before="60"/>
      </w:pPr>
      <w:r>
        <w:rPr>
          <w:rFonts w:ascii="Arial" w:cs="Arial" w:eastAsia="Arial" w:hAnsi="Arial"/>
          <w:color w:val="1E1B2E"/>
          <w:sz w:val="22"/>
          <w:szCs w:val="22"/>
        </w:rPr>
        <w:t xml:space="preserve">The middleware queries merchant_team to get the user's role_id, then queries roles.permissions JSONB for the required permission key.</w:t>
      </w:r>
    </w:p>
    <w:p>
      <w:pPr>
        <w:pStyle w:val="ListParagraph"/>
        <w:numPr>
          <w:ilvl w:val="0"/>
          <w:numId w:val="2"/>
        </w:numPr>
        <w:spacing w:after="60" w:before="60"/>
      </w:pPr>
      <w:r>
        <w:rPr>
          <w:rFonts w:ascii="Arial" w:cs="Arial" w:eastAsia="Arial" w:hAnsi="Arial"/>
          <w:color w:val="1E1B2E"/>
          <w:sz w:val="22"/>
          <w:szCs w:val="22"/>
        </w:rPr>
        <w:t xml:space="preserve">If the permission is not granted, the endpoint returns 403 Forbidden with a descriptive error body.</w:t>
      </w:r>
    </w:p>
    <w:p>
      <w:pPr>
        <w:pStyle w:val="ListParagraph"/>
        <w:numPr>
          <w:ilvl w:val="0"/>
          <w:numId w:val="2"/>
        </w:numPr>
        <w:spacing w:after="60" w:before="60"/>
      </w:pPr>
      <w:r>
        <w:rPr>
          <w:rFonts w:ascii="Arial" w:cs="Arial" w:eastAsia="Arial" w:hAnsi="Arial"/>
          <w:color w:val="1E1B2E"/>
          <w:sz w:val="22"/>
          <w:szCs w:val="22"/>
        </w:rPr>
        <w:t xml:space="preserve">Frontend UI gates are cosmetic conveniences. Server-side middleware is the authoritative enforcement layer.</w:t>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FBE" w:sz="4"/>
              <w:left w:val="single" w:color="7B2FBE" w:sz="4"/>
              <w:bottom w:val="single" w:color="7B2FBE" w:sz="4"/>
              <w:right w:val="single" w:color="7B2FBE" w:sz="4"/>
            </w:tcBorders>
            <w:shd w:fill="2D1B6B" w:val="clear"/>
            <w:tcMar>
              <w:top w:type="dxa" w:w="180"/>
              <w:left w:type="dxa" w:w="280"/>
              <w:bottom w:type="dxa" w:w="80"/>
              <w:right w:type="dxa" w:w="280"/>
            </w:tcMar>
          </w:tcPr>
          <w:p>
            <w:pPr>
              <w:jc w:val="center"/>
            </w:pPr>
            <w:r>
              <w:rPr>
                <w:rFonts w:ascii="Arial" w:cs="Arial" w:eastAsia="Arial" w:hAnsi="Arial"/>
                <w:b/>
                <w:bCs/>
                <w:color w:val="FFFFFF"/>
                <w:sz w:val="34"/>
                <w:szCs w:val="34"/>
              </w:rPr>
              <w:t xml:space="preserve">15. SUPERADMIN MONITORING STRATEGY</w:t>
            </w:r>
          </w:p>
          <w:p>
            <w:pPr>
              <w:spacing w:after="100" w:before="60"/>
              <w:jc w:val="center"/>
            </w:pPr>
            <w:r>
              <w:rPr>
                <w:rFonts w:ascii="Arial" w:cs="Arial" w:eastAsia="Arial" w:hAnsi="Arial"/>
                <w:color w:val="C4B5FD"/>
                <w:sz w:val="20"/>
                <w:szCs w:val="20"/>
              </w:rPr>
              <w:t xml:space="preserve">The Watchtower — Platform-Wide Oversight</w:t>
            </w:r>
          </w:p>
        </w:tc>
      </w:tr>
    </w:tbl>
    <w:p>
      <w:pPr>
        <w:spacing w:after="80" w:before="80"/>
      </w:pPr>
      <w:r>
        <w:t xml:space="preserve"/>
      </w:r>
    </w:p>
    <w:p>
      <w:pPr>
        <w:pStyle w:val="Heading2"/>
        <w:spacing w:after="120" w:before="320"/>
      </w:pPr>
      <w:r>
        <w:rPr>
          <w:rFonts w:ascii="Arial" w:cs="Arial" w:eastAsia="Arial" w:hAnsi="Arial"/>
          <w:b/>
          <w:bCs/>
          <w:color w:val="7B2FBE"/>
          <w:sz w:val="28"/>
          <w:szCs w:val="28"/>
        </w:rPr>
        <w:t xml:space="preserve">15.1 Overview</w:t>
      </w:r>
    </w:p>
    <w:p>
      <w:pPr>
        <w:spacing w:after="80" w:before="80"/>
      </w:pPr>
      <w:r>
        <w:rPr>
          <w:rFonts w:ascii="Arial" w:cs="Arial" w:eastAsia="Arial" w:hAnsi="Arial"/>
          <w:color w:val="1E1B2E"/>
          <w:sz w:val="22"/>
          <w:szCs w:val="22"/>
        </w:rPr>
        <w:t xml:space="preserve">The SuperAdmin portal (accessible at a separate, protected route) serves as the Watchtower of the entire PurpLedger ecosystem. The SuperAdmin does not create operational data; they monitor the health, legality, and financial integrity of the platform. All actions taken by the SuperAdmin are audit-logged.</w:t>
      </w:r>
    </w:p>
    <w:p>
      <w:pPr>
        <w:spacing w:after="80" w:before="80"/>
      </w:pPr>
      <w:r>
        <w:t xml:space="preserve"/>
      </w:r>
    </w:p>
    <w:p>
      <w:pPr>
        <w:pStyle w:val="Heading2"/>
        <w:spacing w:after="120" w:before="320"/>
      </w:pPr>
      <w:r>
        <w:rPr>
          <w:rFonts w:ascii="Arial" w:cs="Arial" w:eastAsia="Arial" w:hAnsi="Arial"/>
          <w:b/>
          <w:bCs/>
          <w:color w:val="7B2FBE"/>
          <w:sz w:val="28"/>
          <w:szCs w:val="28"/>
        </w:rPr>
        <w:t xml:space="preserve">15.2 Key Monitoring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6FE" w:sz="4"/>
              <w:left w:val="single" w:color="DDD6FE" w:sz="4"/>
              <w:bottom w:val="single" w:color="DDD6FE" w:sz="4"/>
              <w:right w:val="single" w:color="DDD6FE" w:sz="4"/>
            </w:tcBorders>
            <w:shd w:fill="2D1B6B" w:val="clear"/>
            <w:tcMar>
              <w:top w:type="dxa" w:w="80"/>
              <w:left w:type="dxa" w:w="150"/>
              <w:bottom w:type="dxa" w:w="80"/>
              <w:right w:type="dxa" w:w="150"/>
            </w:tcMar>
          </w:tcPr>
          <w:p>
            <w:r>
              <w:rPr>
                <w:rFonts w:ascii="Arial" w:cs="Arial" w:eastAsia="Arial" w:hAnsi="Arial"/>
                <w:b/>
                <w:bCs/>
                <w:color w:val="FFFFFF"/>
                <w:sz w:val="20"/>
                <w:szCs w:val="20"/>
              </w:rPr>
              <w:t xml:space="preserve">Module</w:t>
            </w:r>
          </w:p>
        </w:tc>
        <w:tc>
          <w:tcPr>
            <w:tcW w:type="dxa" w:w="6560"/>
            <w:tcBorders>
              <w:top w:val="single" w:color="DDD6FE" w:sz="4"/>
              <w:left w:val="single" w:color="DDD6FE" w:sz="4"/>
              <w:bottom w:val="single" w:color="DDD6FE" w:sz="4"/>
              <w:right w:val="single" w:color="DDD6FE" w:sz="4"/>
            </w:tcBorders>
            <w:shd w:fill="7B2FBE" w:val="clear"/>
            <w:tcMar>
              <w:top w:type="dxa" w:w="80"/>
              <w:left w:type="dxa" w:w="150"/>
              <w:bottom w:type="dxa" w:w="80"/>
              <w:right w:type="dxa" w:w="150"/>
            </w:tcMar>
          </w:tcPr>
          <w:p>
            <w:r>
              <w:rPr>
                <w:rFonts w:ascii="Arial" w:cs="Arial" w:eastAsia="Arial" w:hAnsi="Arial"/>
                <w:color w:val="FFFFFF"/>
                <w:sz w:val="20"/>
                <w:szCs w:val="20"/>
              </w:rPr>
              <w:t xml:space="preserve">Specification</w:t>
            </w:r>
          </w:p>
        </w:tc>
      </w:tr>
      <w:tr>
        <w:trPr>
          <w:tblHeader w:val="false"/>
        </w:trPr>
        <w:tc>
          <w:tcPr>
            <w:tcW w:type="dxa" w:w="28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b/>
                <w:bCs/>
                <w:color w:val="2D1B6B"/>
                <w:sz w:val="20"/>
                <w:szCs w:val="20"/>
              </w:rPr>
              <w:t xml:space="preserve">Global Ledger</w:t>
            </w:r>
          </w:p>
        </w:tc>
        <w:tc>
          <w:tcPr>
            <w:tcW w:type="dxa" w:w="65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color w:val="1E1B2E"/>
                <w:sz w:val="20"/>
                <w:szCs w:val="20"/>
              </w:rPr>
              <w:t xml:space="preserve">A real-time, paginated, searchable feed of all invoice events across the platform. Columns: Merchant Name, Invoice Number, Event Type, Amount, Timestamp. Filterable by date range, merchant, and event type. Read-only display — SuperAdmin cannot edit records.</w:t>
            </w:r>
          </w:p>
        </w:tc>
      </w:tr>
      <w:tr>
        <w:trPr>
          <w:tblHeader w:val="false"/>
        </w:trPr>
        <w:tc>
          <w:tcPr>
            <w:tcW w:type="dxa" w:w="2800"/>
            <w:tcBorders>
              <w:top w:val="single" w:color="DDD6FE" w:sz="4"/>
              <w:left w:val="single" w:color="DDD6FE" w:sz="4"/>
              <w:bottom w:val="single" w:color="DDD6FE" w:sz="4"/>
              <w:right w:val="single" w:color="DDD6FE" w:sz="4"/>
            </w:tcBorders>
            <w:shd w:fill="EDE9FE" w:val="clear"/>
            <w:tcMar>
              <w:top w:type="dxa" w:w="80"/>
              <w:left w:type="dxa" w:w="150"/>
              <w:bottom w:type="dxa" w:w="80"/>
              <w:right w:type="dxa" w:w="150"/>
            </w:tcMar>
          </w:tcPr>
          <w:p>
            <w:r>
              <w:rPr>
                <w:rFonts w:ascii="Arial" w:cs="Arial" w:eastAsia="Arial" w:hAnsi="Arial"/>
                <w:b/>
                <w:bCs/>
                <w:color w:val="2D1B6B"/>
                <w:sz w:val="20"/>
                <w:szCs w:val="20"/>
              </w:rPr>
              <w:t xml:space="preserve">KYC Verification Pipeline</w:t>
            </w:r>
          </w:p>
        </w:tc>
        <w:tc>
          <w:tcPr>
            <w:tcW w:type="dxa" w:w="65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color w:val="1E1B2E"/>
                <w:sz w:val="20"/>
                <w:szCs w:val="20"/>
              </w:rPr>
              <w:t xml:space="preserve">The Verification Inbox described in Section 13. Primary operational surface for approving, rejecting, and monitoring merchant onboarding.</w:t>
            </w:r>
          </w:p>
        </w:tc>
      </w:tr>
      <w:tr>
        <w:trPr>
          <w:tblHeader w:val="false"/>
        </w:trPr>
        <w:tc>
          <w:tcPr>
            <w:tcW w:type="dxa" w:w="28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b/>
                <w:bCs/>
                <w:color w:val="2D1B6B"/>
                <w:sz w:val="20"/>
                <w:szCs w:val="20"/>
              </w:rPr>
              <w:t xml:space="preserve">Audit Trail Master</w:t>
            </w:r>
          </w:p>
        </w:tc>
        <w:tc>
          <w:tcPr>
            <w:tcW w:type="dxa" w:w="65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color w:val="1E1B2E"/>
                <w:sz w:val="20"/>
                <w:szCs w:val="20"/>
              </w:rPr>
              <w:t xml:space="preserve">A searchable, immutable log of ALL actions across the platform: invoice voids (CORRECTION: not deletions — invoices cannot be deleted), manual closures, team role changes, and verification decisions. If a merchant voids a high-value invoice, the log shows which merchant did it, at what timestamp, and with what stated reason.</w:t>
            </w:r>
          </w:p>
        </w:tc>
      </w:tr>
      <w:tr>
        <w:trPr>
          <w:tblHeader w:val="false"/>
        </w:trPr>
        <w:tc>
          <w:tcPr>
            <w:tcW w:type="dxa" w:w="2800"/>
            <w:tcBorders>
              <w:top w:val="single" w:color="DDD6FE" w:sz="4"/>
              <w:left w:val="single" w:color="DDD6FE" w:sz="4"/>
              <w:bottom w:val="single" w:color="DDD6FE" w:sz="4"/>
              <w:right w:val="single" w:color="DDD6FE" w:sz="4"/>
            </w:tcBorders>
            <w:shd w:fill="EDE9FE" w:val="clear"/>
            <w:tcMar>
              <w:top w:type="dxa" w:w="80"/>
              <w:left w:type="dxa" w:w="150"/>
              <w:bottom w:type="dxa" w:w="80"/>
              <w:right w:type="dxa" w:w="150"/>
            </w:tcMar>
          </w:tcPr>
          <w:p>
            <w:r>
              <w:rPr>
                <w:rFonts w:ascii="Arial" w:cs="Arial" w:eastAsia="Arial" w:hAnsi="Arial"/>
                <w:b/>
                <w:bCs/>
                <w:color w:val="2D1B6B"/>
                <w:sz w:val="20"/>
                <w:szCs w:val="20"/>
              </w:rPr>
              <w:t xml:space="preserve">Paystack System Health</w:t>
            </w:r>
          </w:p>
        </w:tc>
        <w:tc>
          <w:tcPr>
            <w:tcW w:type="dxa" w:w="65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color w:val="1E1B2E"/>
                <w:sz w:val="20"/>
                <w:szCs w:val="20"/>
              </w:rPr>
              <w:t xml:space="preserve">Integration widget displaying the live status of Paystack's API and payment infrastructure via the official status page (status.paystack.com). CORRECTION: Stripe removed — PurpLedger is Paystack-only. Shows: API status, payment gateway status, and webhook delivery status.</w:t>
            </w:r>
          </w:p>
        </w:tc>
      </w:tr>
      <w:tr>
        <w:trPr>
          <w:tblHeader w:val="false"/>
        </w:trPr>
        <w:tc>
          <w:tcPr>
            <w:tcW w:type="dxa" w:w="28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b/>
                <w:bCs/>
                <w:color w:val="2D1B6B"/>
                <w:sz w:val="20"/>
                <w:szCs w:val="20"/>
              </w:rPr>
              <w:t xml:space="preserve">Merchant Risk Scoring</w:t>
            </w:r>
          </w:p>
        </w:tc>
        <w:tc>
          <w:tcPr>
            <w:tcW w:type="dxa" w:w="65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color w:val="1E1B2E"/>
                <w:sz w:val="20"/>
                <w:szCs w:val="20"/>
              </w:rPr>
              <w:t xml:space="preserve">Automated risk signals surfaced in the admin UI: high-value invoice creation by unverified accounts, unusual manual close rates, rapid client creation, repeated failed payment attempts on a single invoice.</w:t>
            </w:r>
          </w:p>
        </w:tc>
      </w:tr>
      <w:tr>
        <w:trPr>
          <w:tblHeader w:val="false"/>
        </w:trPr>
        <w:tc>
          <w:tcPr>
            <w:tcW w:type="dxa" w:w="2800"/>
            <w:tcBorders>
              <w:top w:val="single" w:color="DDD6FE" w:sz="4"/>
              <w:left w:val="single" w:color="DDD6FE" w:sz="4"/>
              <w:bottom w:val="single" w:color="DDD6FE" w:sz="4"/>
              <w:right w:val="single" w:color="DDD6FE" w:sz="4"/>
            </w:tcBorders>
            <w:shd w:fill="EDE9FE" w:val="clear"/>
            <w:tcMar>
              <w:top w:type="dxa" w:w="80"/>
              <w:left w:type="dxa" w:w="150"/>
              <w:bottom w:type="dxa" w:w="80"/>
              <w:right w:type="dxa" w:w="150"/>
            </w:tcMar>
          </w:tcPr>
          <w:p>
            <w:r>
              <w:rPr>
                <w:rFonts w:ascii="Arial" w:cs="Arial" w:eastAsia="Arial" w:hAnsi="Arial"/>
                <w:b/>
                <w:bCs/>
                <w:color w:val="2D1B6B"/>
                <w:sz w:val="20"/>
                <w:szCs w:val="20"/>
              </w:rPr>
              <w:t xml:space="preserve">Platform GMV Dashboard</w:t>
            </w:r>
          </w:p>
        </w:tc>
        <w:tc>
          <w:tcPr>
            <w:tcW w:type="dxa" w:w="65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color w:val="1E1B2E"/>
                <w:sz w:val="20"/>
                <w:szCs w:val="20"/>
              </w:rPr>
              <w:t xml:space="preserve">Real-time total transaction volume across all merchants. Segmented by day/week/month. Separate views for Gross Volume (total initiated) and Net Volume (successfully collected).</w:t>
            </w:r>
          </w:p>
        </w:tc>
      </w:tr>
    </w:tbl>
    <w:p>
      <w:pPr>
        <w:spacing w:after="80" w:before="80"/>
      </w:pPr>
      <w:r>
        <w:t xml:space="preserve"/>
      </w:r>
    </w:p>
    <w:p>
      <w:pPr>
        <w:pStyle w:val="Heading2"/>
        <w:spacing w:after="120" w:before="320"/>
      </w:pPr>
      <w:r>
        <w:rPr>
          <w:rFonts w:ascii="Arial" w:cs="Arial" w:eastAsia="Arial" w:hAnsi="Arial"/>
          <w:b/>
          <w:bCs/>
          <w:color w:val="7B2FBE"/>
          <w:sz w:val="28"/>
          <w:szCs w:val="28"/>
        </w:rPr>
        <w:t xml:space="preserve">15.3 Access Security</w:t>
      </w:r>
    </w:p>
    <w:p>
      <w:pPr>
        <w:pStyle w:val="ListParagraph"/>
        <w:numPr>
          <w:ilvl w:val="0"/>
          <w:numId w:val="2"/>
        </w:numPr>
        <w:spacing w:after="60" w:before="60"/>
      </w:pPr>
      <w:r>
        <w:rPr>
          <w:rFonts w:ascii="Arial" w:cs="Arial" w:eastAsia="Arial" w:hAnsi="Arial"/>
          <w:color w:val="1E1B2E"/>
          <w:sz w:val="22"/>
          <w:szCs w:val="22"/>
        </w:rPr>
        <w:t xml:space="preserve">SuperAdmin portal is isolated at the route level: /admin/** routes require is_super_admin = true in Supabase Auth user metadata.</w:t>
      </w:r>
    </w:p>
    <w:p>
      <w:pPr>
        <w:pStyle w:val="ListParagraph"/>
        <w:numPr>
          <w:ilvl w:val="0"/>
          <w:numId w:val="2"/>
        </w:numPr>
        <w:spacing w:after="60" w:before="60"/>
      </w:pPr>
      <w:r>
        <w:rPr>
          <w:rFonts w:ascii="Arial" w:cs="Arial" w:eastAsia="Arial" w:hAnsi="Arial"/>
          <w:color w:val="1E1B2E"/>
          <w:sz w:val="22"/>
          <w:szCs w:val="22"/>
        </w:rPr>
        <w:t xml:space="preserve">SuperAdmin login requires separate credentials from regular merchant accounts — no shared session.</w:t>
      </w:r>
    </w:p>
    <w:p>
      <w:pPr>
        <w:pStyle w:val="ListParagraph"/>
        <w:numPr>
          <w:ilvl w:val="0"/>
          <w:numId w:val="2"/>
        </w:numPr>
        <w:spacing w:after="60" w:before="60"/>
      </w:pPr>
      <w:r>
        <w:rPr>
          <w:rFonts w:ascii="Arial" w:cs="Arial" w:eastAsia="Arial" w:hAnsi="Arial"/>
          <w:color w:val="1E1B2E"/>
          <w:sz w:val="22"/>
          <w:szCs w:val="22"/>
        </w:rPr>
        <w:t xml:space="preserve">All SuperAdmin sessions require 2FA (TOTP authenticator app mandatory, SMS as fallback only).</w:t>
      </w:r>
    </w:p>
    <w:p>
      <w:pPr>
        <w:pStyle w:val="ListParagraph"/>
        <w:numPr>
          <w:ilvl w:val="0"/>
          <w:numId w:val="2"/>
        </w:numPr>
        <w:spacing w:after="60" w:before="60"/>
      </w:pPr>
      <w:r>
        <w:rPr>
          <w:rFonts w:ascii="Arial" w:cs="Arial" w:eastAsia="Arial" w:hAnsi="Arial"/>
          <w:color w:val="1E1B2E"/>
          <w:sz w:val="22"/>
          <w:szCs w:val="22"/>
        </w:rPr>
        <w:t xml:space="preserve">SuperAdmin actions are logged with both the admin_id and the IP address of the session for forensic traceability.</w:t>
      </w:r>
    </w:p>
    <w:p>
      <w:pPr>
        <w:pStyle w:val="ListParagraph"/>
        <w:numPr>
          <w:ilvl w:val="0"/>
          <w:numId w:val="2"/>
        </w:numPr>
        <w:spacing w:after="60" w:before="60"/>
      </w:pPr>
      <w:r>
        <w:rPr>
          <w:rFonts w:ascii="Arial" w:cs="Arial" w:eastAsia="Arial" w:hAnsi="Arial"/>
          <w:color w:val="1E1B2E"/>
          <w:sz w:val="22"/>
          <w:szCs w:val="22"/>
        </w:rPr>
        <w:t xml:space="preserve">SuperAdmin cannot log in from the regular merchant portal UI. They are completely separate applications (separate Next.js route groups or separate deployments).</w:t>
      </w:r>
    </w:p>
    <w:p>
      <w:pPr>
        <w:spacing w:after="80" w:before="80"/>
      </w:pPr>
      <w:r>
        <w:t xml:space="preserve"/>
      </w:r>
    </w:p>
    <w:p>
      <w:pPr>
        <w:pStyle w:val="Heading2"/>
        <w:spacing w:after="120" w:before="320"/>
      </w:pPr>
      <w:r>
        <w:rPr>
          <w:rFonts w:ascii="Arial" w:cs="Arial" w:eastAsia="Arial" w:hAnsi="Arial"/>
          <w:b/>
          <w:bCs/>
          <w:color w:val="7B2FBE"/>
          <w:sz w:val="28"/>
          <w:szCs w:val="28"/>
        </w:rPr>
        <w:t xml:space="preserve">15.4 Sprint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DDD6FE" w:sz="4"/>
              <w:left w:val="single" w:color="DDD6FE" w:sz="4"/>
              <w:bottom w:val="single" w:color="DDD6FE" w:sz="4"/>
              <w:right w:val="single" w:color="DDD6FE" w:sz="4"/>
            </w:tcBorders>
            <w:shd w:fill="2D1B6B" w:val="clear"/>
            <w:tcMar>
              <w:top w:type="dxa" w:w="80"/>
              <w:left w:type="dxa" w:w="150"/>
              <w:bottom w:type="dxa" w:w="80"/>
              <w:right w:type="dxa" w:w="150"/>
            </w:tcMar>
          </w:tcPr>
          <w:p>
            <w:r>
              <w:rPr>
                <w:rFonts w:ascii="Arial" w:cs="Arial" w:eastAsia="Arial" w:hAnsi="Arial"/>
                <w:b/>
                <w:bCs/>
                <w:color w:val="FFFFFF"/>
                <w:sz w:val="20"/>
                <w:szCs w:val="20"/>
              </w:rPr>
              <w:t xml:space="preserve">Component</w:t>
            </w:r>
          </w:p>
        </w:tc>
        <w:tc>
          <w:tcPr>
            <w:tcW w:type="dxa" w:w="4360"/>
            <w:tcBorders>
              <w:top w:val="single" w:color="DDD6FE" w:sz="4"/>
              <w:left w:val="single" w:color="DDD6FE" w:sz="4"/>
              <w:bottom w:val="single" w:color="DDD6FE" w:sz="4"/>
              <w:right w:val="single" w:color="DDD6FE" w:sz="4"/>
            </w:tcBorders>
            <w:shd w:fill="7B2FBE" w:val="clear"/>
            <w:tcMar>
              <w:top w:type="dxa" w:w="80"/>
              <w:left w:type="dxa" w:w="150"/>
              <w:bottom w:type="dxa" w:w="80"/>
              <w:right w:type="dxa" w:w="150"/>
            </w:tcMar>
          </w:tcPr>
          <w:p>
            <w:r>
              <w:rPr>
                <w:rFonts w:ascii="Arial" w:cs="Arial" w:eastAsia="Arial" w:hAnsi="Arial"/>
                <w:color w:val="FFFFFF"/>
                <w:sz w:val="20"/>
                <w:szCs w:val="20"/>
              </w:rPr>
              <w:t xml:space="preserve">Target Sprint</w:t>
            </w:r>
          </w:p>
        </w:tc>
      </w:tr>
      <w:tr>
        <w:trPr>
          <w:tblHeader w:val="false"/>
        </w:trPr>
        <w:tc>
          <w:tcPr>
            <w:tcW w:type="dxa" w:w="50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b/>
                <w:bCs/>
                <w:color w:val="2D1B6B"/>
                <w:sz w:val="20"/>
                <w:szCs w:val="20"/>
              </w:rPr>
              <w:t xml:space="preserve">Section 12: Tiered Verification — Schema &amp; State Machine</w:t>
            </w:r>
          </w:p>
        </w:tc>
        <w:tc>
          <w:tcPr>
            <w:tcW w:type="dxa" w:w="43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color w:val="1E1B2E"/>
                <w:sz w:val="20"/>
                <w:szCs w:val="20"/>
              </w:rPr>
              <w:t xml:space="preserve">Sprint 1</w:t>
            </w:r>
          </w:p>
        </w:tc>
      </w:tr>
      <w:tr>
        <w:trPr>
          <w:tblHeader w:val="false"/>
        </w:trPr>
        <w:tc>
          <w:tcPr>
            <w:tcW w:type="dxa" w:w="5000"/>
            <w:tcBorders>
              <w:top w:val="single" w:color="DDD6FE" w:sz="4"/>
              <w:left w:val="single" w:color="DDD6FE" w:sz="4"/>
              <w:bottom w:val="single" w:color="DDD6FE" w:sz="4"/>
              <w:right w:val="single" w:color="DDD6FE" w:sz="4"/>
            </w:tcBorders>
            <w:shd w:fill="EDE9FE" w:val="clear"/>
            <w:tcMar>
              <w:top w:type="dxa" w:w="80"/>
              <w:left w:type="dxa" w:w="150"/>
              <w:bottom w:type="dxa" w:w="80"/>
              <w:right w:type="dxa" w:w="150"/>
            </w:tcMar>
          </w:tcPr>
          <w:p>
            <w:r>
              <w:rPr>
                <w:rFonts w:ascii="Arial" w:cs="Arial" w:eastAsia="Arial" w:hAnsi="Arial"/>
                <w:b/>
                <w:bCs/>
                <w:color w:val="2D1B6B"/>
                <w:sz w:val="20"/>
                <w:szCs w:val="20"/>
              </w:rPr>
              <w:t xml:space="preserve">Section 12: Compliance-First UI (Banner, Modal, Soft-blocks)</w:t>
            </w:r>
          </w:p>
        </w:tc>
        <w:tc>
          <w:tcPr>
            <w:tcW w:type="dxa" w:w="43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color w:val="1E1B2E"/>
                <w:sz w:val="20"/>
                <w:szCs w:val="20"/>
              </w:rPr>
              <w:t xml:space="preserve">Sprint 2</w:t>
            </w:r>
          </w:p>
        </w:tc>
      </w:tr>
      <w:tr>
        <w:trPr>
          <w:tblHeader w:val="false"/>
        </w:trPr>
        <w:tc>
          <w:tcPr>
            <w:tcW w:type="dxa" w:w="50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b/>
                <w:bCs/>
                <w:color w:val="2D1B6B"/>
                <w:sz w:val="20"/>
                <w:szCs w:val="20"/>
              </w:rPr>
              <w:t xml:space="preserve">Section 13: Automated Sanity Check (SmileID Integration)</w:t>
            </w:r>
          </w:p>
        </w:tc>
        <w:tc>
          <w:tcPr>
            <w:tcW w:type="dxa" w:w="43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color w:val="1E1B2E"/>
                <w:sz w:val="20"/>
                <w:szCs w:val="20"/>
              </w:rPr>
              <w:t xml:space="preserve">Sprint 3 (vendor-dependent)</w:t>
            </w:r>
          </w:p>
        </w:tc>
      </w:tr>
      <w:tr>
        <w:trPr>
          <w:tblHeader w:val="false"/>
        </w:trPr>
        <w:tc>
          <w:tcPr>
            <w:tcW w:type="dxa" w:w="5000"/>
            <w:tcBorders>
              <w:top w:val="single" w:color="DDD6FE" w:sz="4"/>
              <w:left w:val="single" w:color="DDD6FE" w:sz="4"/>
              <w:bottom w:val="single" w:color="DDD6FE" w:sz="4"/>
              <w:right w:val="single" w:color="DDD6FE" w:sz="4"/>
            </w:tcBorders>
            <w:shd w:fill="EDE9FE" w:val="clear"/>
            <w:tcMar>
              <w:top w:type="dxa" w:w="80"/>
              <w:left w:type="dxa" w:w="150"/>
              <w:bottom w:type="dxa" w:w="80"/>
              <w:right w:type="dxa" w:w="150"/>
            </w:tcMar>
          </w:tcPr>
          <w:p>
            <w:r>
              <w:rPr>
                <w:rFonts w:ascii="Arial" w:cs="Arial" w:eastAsia="Arial" w:hAnsi="Arial"/>
                <w:b/>
                <w:bCs/>
                <w:color w:val="2D1B6B"/>
                <w:sz w:val="20"/>
                <w:szCs w:val="20"/>
              </w:rPr>
              <w:t xml:space="preserve">Section 13: Admin Verification Inbox &amp; Manual Review UI</w:t>
            </w:r>
          </w:p>
        </w:tc>
        <w:tc>
          <w:tcPr>
            <w:tcW w:type="dxa" w:w="43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color w:val="1E1B2E"/>
                <w:sz w:val="20"/>
                <w:szCs w:val="20"/>
              </w:rPr>
              <w:t xml:space="preserve">Sprint 4</w:t>
            </w:r>
          </w:p>
        </w:tc>
      </w:tr>
      <w:tr>
        <w:trPr>
          <w:tblHeader w:val="false"/>
        </w:trPr>
        <w:tc>
          <w:tcPr>
            <w:tcW w:type="dxa" w:w="50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b/>
                <w:bCs/>
                <w:color w:val="2D1B6B"/>
                <w:sz w:val="20"/>
                <w:szCs w:val="20"/>
              </w:rPr>
              <w:t xml:space="preserve">Section 13: Tier-Up Automation Background Job</w:t>
            </w:r>
          </w:p>
        </w:tc>
        <w:tc>
          <w:tcPr>
            <w:tcW w:type="dxa" w:w="43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color w:val="1E1B2E"/>
                <w:sz w:val="20"/>
                <w:szCs w:val="20"/>
              </w:rPr>
              <w:t xml:space="preserve">Sprint 5</w:t>
            </w:r>
          </w:p>
        </w:tc>
      </w:tr>
      <w:tr>
        <w:trPr>
          <w:tblHeader w:val="false"/>
        </w:trPr>
        <w:tc>
          <w:tcPr>
            <w:tcW w:type="dxa" w:w="5000"/>
            <w:tcBorders>
              <w:top w:val="single" w:color="DDD6FE" w:sz="4"/>
              <w:left w:val="single" w:color="DDD6FE" w:sz="4"/>
              <w:bottom w:val="single" w:color="DDD6FE" w:sz="4"/>
              <w:right w:val="single" w:color="DDD6FE" w:sz="4"/>
            </w:tcBorders>
            <w:shd w:fill="EDE9FE" w:val="clear"/>
            <w:tcMar>
              <w:top w:type="dxa" w:w="80"/>
              <w:left w:type="dxa" w:w="150"/>
              <w:bottom w:type="dxa" w:w="80"/>
              <w:right w:type="dxa" w:w="150"/>
            </w:tcMar>
          </w:tcPr>
          <w:p>
            <w:r>
              <w:rPr>
                <w:rFonts w:ascii="Arial" w:cs="Arial" w:eastAsia="Arial" w:hAnsi="Arial"/>
                <w:b/>
                <w:bCs/>
                <w:color w:val="2D1B6B"/>
                <w:sz w:val="20"/>
                <w:szCs w:val="20"/>
              </w:rPr>
              <w:t xml:space="preserve">Section 14: RBAC Schema &amp; Middleware</w:t>
            </w:r>
          </w:p>
        </w:tc>
        <w:tc>
          <w:tcPr>
            <w:tcW w:type="dxa" w:w="43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color w:val="1E1B2E"/>
                <w:sz w:val="20"/>
                <w:szCs w:val="20"/>
              </w:rPr>
              <w:t xml:space="preserve">Sprint 1.5 (between S1 and S2)</w:t>
            </w:r>
          </w:p>
        </w:tc>
      </w:tr>
      <w:tr>
        <w:trPr>
          <w:tblHeader w:val="false"/>
        </w:trPr>
        <w:tc>
          <w:tcPr>
            <w:tcW w:type="dxa" w:w="50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b/>
                <w:bCs/>
                <w:color w:val="2D1B6B"/>
                <w:sz w:val="20"/>
                <w:szCs w:val="20"/>
              </w:rPr>
              <w:t xml:space="preserve">Section 14: Team Invite UI &amp; Two-Path Resolution</w:t>
            </w:r>
          </w:p>
        </w:tc>
        <w:tc>
          <w:tcPr>
            <w:tcW w:type="dxa" w:w="43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color w:val="1E1B2E"/>
                <w:sz w:val="20"/>
                <w:szCs w:val="20"/>
              </w:rPr>
              <w:t xml:space="preserve">Sprint 2</w:t>
            </w:r>
          </w:p>
        </w:tc>
      </w:tr>
      <w:tr>
        <w:trPr>
          <w:tblHeader w:val="false"/>
        </w:trPr>
        <w:tc>
          <w:tcPr>
            <w:tcW w:type="dxa" w:w="5000"/>
            <w:tcBorders>
              <w:top w:val="single" w:color="DDD6FE" w:sz="4"/>
              <w:left w:val="single" w:color="DDD6FE" w:sz="4"/>
              <w:bottom w:val="single" w:color="DDD6FE" w:sz="4"/>
              <w:right w:val="single" w:color="DDD6FE" w:sz="4"/>
            </w:tcBorders>
            <w:shd w:fill="EDE9FE" w:val="clear"/>
            <w:tcMar>
              <w:top w:type="dxa" w:w="80"/>
              <w:left w:type="dxa" w:w="150"/>
              <w:bottom w:type="dxa" w:w="80"/>
              <w:right w:type="dxa" w:w="150"/>
            </w:tcMar>
          </w:tcPr>
          <w:p>
            <w:r>
              <w:rPr>
                <w:rFonts w:ascii="Arial" w:cs="Arial" w:eastAsia="Arial" w:hAnsi="Arial"/>
                <w:b/>
                <w:bCs/>
                <w:color w:val="2D1B6B"/>
                <w:sz w:val="20"/>
                <w:szCs w:val="20"/>
              </w:rPr>
              <w:t xml:space="preserve">Section 15: SuperAdmin Monitoring Dashboard</w:t>
            </w:r>
          </w:p>
        </w:tc>
        <w:tc>
          <w:tcPr>
            <w:tcW w:type="dxa" w:w="43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color w:val="1E1B2E"/>
                <w:sz w:val="20"/>
                <w:szCs w:val="20"/>
              </w:rPr>
              <w:t xml:space="preserve">Sprint 6</w:t>
            </w:r>
          </w:p>
        </w:tc>
      </w:tr>
      <w:tr>
        <w:trPr>
          <w:tblHeader w:val="false"/>
        </w:trPr>
        <w:tc>
          <w:tcPr>
            <w:tcW w:type="dxa" w:w="50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b/>
                <w:bCs/>
                <w:color w:val="2D1B6B"/>
                <w:sz w:val="20"/>
                <w:szCs w:val="20"/>
              </w:rPr>
              <w:t xml:space="preserve">Section 15: Global Ledger &amp; Audit Trail Master</w:t>
            </w:r>
          </w:p>
        </w:tc>
        <w:tc>
          <w:tcPr>
            <w:tcW w:type="dxa" w:w="43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color w:val="1E1B2E"/>
                <w:sz w:val="20"/>
                <w:szCs w:val="20"/>
              </w:rPr>
              <w:t xml:space="preserve">Sprint 6</w:t>
            </w:r>
          </w:p>
        </w:tc>
      </w:tr>
      <w:tr>
        <w:trPr>
          <w:tblHeader w:val="false"/>
        </w:trPr>
        <w:tc>
          <w:tcPr>
            <w:tcW w:type="dxa" w:w="5000"/>
            <w:tcBorders>
              <w:top w:val="single" w:color="DDD6FE" w:sz="4"/>
              <w:left w:val="single" w:color="DDD6FE" w:sz="4"/>
              <w:bottom w:val="single" w:color="DDD6FE" w:sz="4"/>
              <w:right w:val="single" w:color="DDD6FE" w:sz="4"/>
            </w:tcBorders>
            <w:shd w:fill="EDE9FE" w:val="clear"/>
            <w:tcMar>
              <w:top w:type="dxa" w:w="80"/>
              <w:left w:type="dxa" w:w="150"/>
              <w:bottom w:type="dxa" w:w="80"/>
              <w:right w:type="dxa" w:w="150"/>
            </w:tcMar>
          </w:tcPr>
          <w:p>
            <w:r>
              <w:rPr>
                <w:rFonts w:ascii="Arial" w:cs="Arial" w:eastAsia="Arial" w:hAnsi="Arial"/>
                <w:b/>
                <w:bCs/>
                <w:color w:val="2D1B6B"/>
                <w:sz w:val="20"/>
                <w:szCs w:val="20"/>
              </w:rPr>
              <w:t xml:space="preserve">Section 15: Paystack System Health Widget</w:t>
            </w:r>
          </w:p>
        </w:tc>
        <w:tc>
          <w:tcPr>
            <w:tcW w:type="dxa" w:w="43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r>
              <w:rPr>
                <w:rFonts w:ascii="Arial" w:cs="Arial" w:eastAsia="Arial" w:hAnsi="Arial"/>
                <w:color w:val="1E1B2E"/>
                <w:sz w:val="20"/>
                <w:szCs w:val="20"/>
              </w:rPr>
              <w:t xml:space="preserve">Sprint 6</w:t>
            </w:r>
          </w:p>
        </w:tc>
      </w:tr>
    </w:tbl>
    <w:p>
      <w:pPr>
        <w:spacing w:after="80" w:before="80"/>
      </w:pPr>
      <w:r>
        <w:t xml:space="preserve"/>
      </w:r>
    </w:p>
    <w:p>
      <w:pPr>
        <w:spacing w:after="80" w:before="80"/>
      </w:pPr>
      <w:r>
        <w:t xml:space="preserve"/>
      </w:r>
    </w:p>
    <w:p>
      <w:pPr>
        <w:spacing w:before="480"/>
        <w:jc w:val="center"/>
      </w:pPr>
      <w:r>
        <w:rPr>
          <w:rFonts w:ascii="Arial" w:cs="Arial" w:eastAsia="Arial" w:hAnsi="Arial"/>
          <w:b/>
          <w:bCs/>
          <w:color w:val="7B2FBE"/>
          <w:sz w:val="22"/>
          <w:szCs w:val="22"/>
        </w:rPr>
        <w:t xml:space="preserve">— END OF ADDENDUM v1.1 —</w:t>
      </w:r>
    </w:p>
    <w:p>
      <w:pPr>
        <w:spacing w:before="80"/>
        <w:jc w:val="center"/>
      </w:pPr>
      <w:r>
        <w:rPr>
          <w:rFonts w:ascii="Arial" w:cs="Arial" w:eastAsia="Arial" w:hAnsi="Arial"/>
          <w:color w:val="6B7280"/>
          <w:sz w:val="19"/>
          <w:szCs w:val="19"/>
        </w:rPr>
        <w:t xml:space="preserve">This document extends PRD v1.0. Both documents must be read together as the complete specification.</w:t>
      </w:r>
    </w:p>
    <w:p>
      <w:pPr>
        <w:spacing w:before="60"/>
        <w:jc w:val="center"/>
      </w:pPr>
      <w:r>
        <w:rPr>
          <w:rFonts w:ascii="Arial" w:cs="Arial" w:eastAsia="Arial" w:hAnsi="Arial"/>
          <w:color w:val="6B7280"/>
          <w:sz w:val="18"/>
          <w:szCs w:val="18"/>
        </w:rPr>
        <w:t xml:space="preserve">PurpLedger PRD Addendum v1.1  ·  Confidential  ·  © 2025 PurpLedger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6FE" w:sz="4" w:space="4"/>
      </w:pBdr>
      <w:jc w:val="center"/>
    </w:pPr>
    <w:r>
      <w:rPr>
        <w:rFonts w:ascii="Arial" w:cs="Arial" w:eastAsia="Arial" w:hAnsi="Arial"/>
        <w:color w:val="6B7280"/>
        <w:sz w:val="18"/>
        <w:szCs w:val="18"/>
      </w:rPr>
      <w:t xml:space="preserve">© 2025 PurpLedger  |  PRD Addendum v1.1  |  Page </w:t>
    </w:r>
    <w:r>
      <w:rPr>
        <w:rFonts w:ascii="Arial" w:cs="Arial" w:eastAsia="Arial" w:hAnsi="Arial"/>
        <w:color w:val="7B2FBE"/>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7B2FB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2FBE" w:sz="6" w:space="4"/>
      </w:pBdr>
    </w:pPr>
    <w:r>
      <w:rPr>
        <w:rFonts w:ascii="Arial" w:cs="Arial" w:eastAsia="Arial" w:hAnsi="Arial"/>
        <w:b/>
        <w:bCs/>
        <w:color w:val="2D1B6B"/>
        <w:sz w:val="18"/>
        <w:szCs w:val="18"/>
      </w:rPr>
      <w:t xml:space="preserve">PurpLedger  |  </w:t>
    </w:r>
    <w:r>
      <w:rPr>
        <w:rFonts w:ascii="Arial" w:cs="Arial" w:eastAsia="Arial" w:hAnsi="Arial"/>
        <w:color w:val="7B2FBE"/>
        <w:sz w:val="18"/>
        <w:szCs w:val="18"/>
      </w:rPr>
      <w:t xml:space="preserve">PRD Addendum v1.1  —  Verification, RBAC &amp; SuperAdmin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2D1B6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7B2FBE"/>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D1B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2026-04-23T21:01:01.988Z</dcterms:created>
  <dcterms:modified xsi:type="dcterms:W3CDTF">2026-04-23T21:01:01.989Z</dcterms:modified>
</cp:coreProperties>
</file>

<file path=docProps/custom.xml><?xml version="1.0" encoding="utf-8"?>
<Properties xmlns="http://schemas.openxmlformats.org/officeDocument/2006/custom-properties" xmlns:vt="http://schemas.openxmlformats.org/officeDocument/2006/docPropsVTypes"/>
</file>