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524B" w14:textId="6FA14C8F" w:rsidR="00263EAE" w:rsidRPr="00796379" w:rsidRDefault="00BA4A1C" w:rsidP="00796379">
      <w:pPr>
        <w:pStyle w:val="TITRENOTE"/>
      </w:pPr>
      <w:r>
        <w:t xml:space="preserve">Projet </w:t>
      </w:r>
      <w:proofErr w:type="spellStart"/>
      <w:r>
        <w:t>Stat’App</w:t>
      </w:r>
      <w:proofErr w:type="spellEnd"/>
      <w:r>
        <w:t xml:space="preserve"> – </w:t>
      </w:r>
      <w:r w:rsidR="00050C6A">
        <w:t>Interconnexions Banques -</w:t>
      </w:r>
      <w:r>
        <w:t xml:space="preserve"> NBFI – Note de cadrage</w:t>
      </w:r>
    </w:p>
    <w:tbl>
      <w:tblPr>
        <w:tblStyle w:val="TableGrid"/>
        <w:tblW w:w="9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9"/>
        <w:gridCol w:w="425"/>
        <w:gridCol w:w="709"/>
        <w:gridCol w:w="7359"/>
      </w:tblGrid>
      <w:tr w:rsidR="004D1CE9" w14:paraId="51E70649" w14:textId="77777777" w:rsidTr="004D1CE9">
        <w:trPr>
          <w:trHeight w:val="57"/>
        </w:trPr>
        <w:tc>
          <w:tcPr>
            <w:tcW w:w="9202" w:type="dxa"/>
            <w:gridSpan w:val="4"/>
            <w:tcBorders>
              <w:top w:val="single" w:sz="4" w:space="0" w:color="0452A5"/>
            </w:tcBorders>
          </w:tcPr>
          <w:p w14:paraId="43AFFF6E" w14:textId="77777777" w:rsidR="004D1CE9" w:rsidRPr="00263EAE" w:rsidRDefault="004D1CE9" w:rsidP="009B02ED">
            <w:pPr>
              <w:spacing w:after="40"/>
              <w:rPr>
                <w:rStyle w:val="IntenseEmphasis"/>
                <w:b w:val="0"/>
                <w:color w:val="auto"/>
                <w:sz w:val="12"/>
              </w:rPr>
            </w:pPr>
          </w:p>
        </w:tc>
      </w:tr>
      <w:tr w:rsidR="00CC5EC9" w14:paraId="60AFA41A" w14:textId="77777777" w:rsidTr="004D1CE9">
        <w:trPr>
          <w:trHeight w:val="295"/>
        </w:trPr>
        <w:tc>
          <w:tcPr>
            <w:tcW w:w="709" w:type="dxa"/>
          </w:tcPr>
          <w:p w14:paraId="26E90ADE" w14:textId="77777777" w:rsidR="00CC5EC9" w:rsidRDefault="00CC5EC9" w:rsidP="004F7617">
            <w:pPr>
              <w:spacing w:after="40"/>
              <w:jc w:val="left"/>
              <w:rPr>
                <w:rStyle w:val="IntenseEmphasis"/>
              </w:rPr>
            </w:pPr>
            <w:r w:rsidRPr="00945624">
              <w:rPr>
                <w:rStyle w:val="IntenseEmphasis"/>
              </w:rPr>
              <w:t>DATE :</w:t>
            </w:r>
          </w:p>
        </w:tc>
        <w:tc>
          <w:tcPr>
            <w:tcW w:w="8493" w:type="dxa"/>
            <w:gridSpan w:val="3"/>
          </w:tcPr>
          <w:p w14:paraId="5552B326" w14:textId="48CE3DDF" w:rsidR="00CC5EC9" w:rsidRDefault="00050C6A" w:rsidP="009B02ED">
            <w:pPr>
              <w:spacing w:after="40"/>
              <w:rPr>
                <w:rStyle w:val="IntenseEmphasis"/>
              </w:rPr>
            </w:pPr>
            <w:r>
              <w:rPr>
                <w:rStyle w:val="IntenseEmphasis"/>
                <w:b w:val="0"/>
                <w:color w:val="auto"/>
              </w:rPr>
              <w:t>03/11</w:t>
            </w:r>
            <w:r w:rsidR="00BA4A1C">
              <w:rPr>
                <w:rStyle w:val="IntenseEmphasis"/>
                <w:b w:val="0"/>
                <w:color w:val="auto"/>
              </w:rPr>
              <w:t>/2025</w:t>
            </w:r>
          </w:p>
        </w:tc>
      </w:tr>
      <w:tr w:rsidR="00CC5EC9" w14:paraId="7EA00010" w14:textId="77777777" w:rsidTr="004D1CE9">
        <w:trPr>
          <w:trHeight w:val="295"/>
        </w:trPr>
        <w:tc>
          <w:tcPr>
            <w:tcW w:w="1134" w:type="dxa"/>
            <w:gridSpan w:val="2"/>
          </w:tcPr>
          <w:p w14:paraId="4D37577B" w14:textId="77777777" w:rsidR="00CC5EC9" w:rsidRDefault="00CC5EC9" w:rsidP="004F7617">
            <w:pPr>
              <w:spacing w:after="40"/>
              <w:jc w:val="left"/>
              <w:rPr>
                <w:rStyle w:val="IntenseEmphasis"/>
              </w:rPr>
            </w:pPr>
            <w:r w:rsidRPr="00945624">
              <w:rPr>
                <w:rStyle w:val="IntenseEmphasis"/>
              </w:rPr>
              <w:t>AUTEURS :</w:t>
            </w:r>
          </w:p>
        </w:tc>
        <w:tc>
          <w:tcPr>
            <w:tcW w:w="8068" w:type="dxa"/>
            <w:gridSpan w:val="2"/>
          </w:tcPr>
          <w:p w14:paraId="5F23E1F3" w14:textId="042B1BD2" w:rsidR="00CC5EC9" w:rsidRDefault="00BA4A1C" w:rsidP="009B02ED">
            <w:pPr>
              <w:spacing w:after="40"/>
              <w:rPr>
                <w:rStyle w:val="IntenseEmphasis"/>
              </w:rPr>
            </w:pPr>
            <w:r>
              <w:rPr>
                <w:rStyle w:val="IntenseEmphasis"/>
                <w:b w:val="0"/>
                <w:color w:val="auto"/>
              </w:rPr>
              <w:t>Lucille COLLET (DEAR – SARB)</w:t>
            </w:r>
          </w:p>
        </w:tc>
      </w:tr>
      <w:tr w:rsidR="00CC5EC9" w:rsidRPr="00BA4A1C" w14:paraId="4BD1E1E2" w14:textId="77777777" w:rsidTr="004D1CE9">
        <w:trPr>
          <w:trHeight w:val="295"/>
        </w:trPr>
        <w:tc>
          <w:tcPr>
            <w:tcW w:w="1843" w:type="dxa"/>
            <w:gridSpan w:val="3"/>
          </w:tcPr>
          <w:p w14:paraId="075C8307" w14:textId="77777777" w:rsidR="00CC5EC9" w:rsidRDefault="00CC5EC9" w:rsidP="004F7617">
            <w:pPr>
              <w:spacing w:after="40"/>
              <w:jc w:val="left"/>
              <w:rPr>
                <w:rStyle w:val="IntenseEmphasis"/>
              </w:rPr>
            </w:pPr>
            <w:r w:rsidRPr="00AB5FEC">
              <w:rPr>
                <w:rStyle w:val="IntenseEmphasis"/>
              </w:rPr>
              <w:t>DESTINATAIRE(S) :</w:t>
            </w:r>
          </w:p>
        </w:tc>
        <w:tc>
          <w:tcPr>
            <w:tcW w:w="7359" w:type="dxa"/>
          </w:tcPr>
          <w:p w14:paraId="031B5D2B" w14:textId="577DDF0C" w:rsidR="00CC5EC9" w:rsidRPr="00BA4A1C" w:rsidRDefault="00BA4A1C" w:rsidP="009B02ED">
            <w:pPr>
              <w:spacing w:after="40"/>
              <w:rPr>
                <w:rStyle w:val="IntenseEmphasis"/>
                <w:lang w:val="en-US"/>
              </w:rPr>
            </w:pPr>
            <w:r w:rsidRPr="00BA4A1C">
              <w:rPr>
                <w:rStyle w:val="IntenseEmphasis"/>
                <w:b w:val="0"/>
                <w:color w:val="auto"/>
                <w:lang w:val="en-US"/>
              </w:rPr>
              <w:t>Jean-</w:t>
            </w:r>
            <w:proofErr w:type="spellStart"/>
            <w:r w:rsidRPr="00BA4A1C">
              <w:rPr>
                <w:rStyle w:val="IntenseEmphasis"/>
                <w:b w:val="0"/>
                <w:color w:val="auto"/>
                <w:lang w:val="en-US"/>
              </w:rPr>
              <w:t>Médérick</w:t>
            </w:r>
            <w:proofErr w:type="spellEnd"/>
            <w:r w:rsidRPr="00BA4A1C">
              <w:rPr>
                <w:rStyle w:val="IntenseEmphasis"/>
                <w:b w:val="0"/>
                <w:color w:val="auto"/>
                <w:lang w:val="en-US"/>
              </w:rPr>
              <w:t xml:space="preserve"> BE</w:t>
            </w:r>
            <w:r>
              <w:rPr>
                <w:rStyle w:val="IntenseEmphasis"/>
                <w:b w:val="0"/>
                <w:color w:val="auto"/>
                <w:lang w:val="en-US"/>
              </w:rPr>
              <w:t xml:space="preserve">SSI - </w:t>
            </w:r>
            <w:r w:rsidRPr="00BA4A1C">
              <w:rPr>
                <w:rStyle w:val="IntenseEmphasis"/>
                <w:b w:val="0"/>
                <w:color w:val="auto"/>
                <w:lang w:val="en-US"/>
              </w:rPr>
              <w:t xml:space="preserve">Yasmine BOUTCHICH – Ralph NADER – Massil ZOUAGHI </w:t>
            </w:r>
          </w:p>
        </w:tc>
      </w:tr>
    </w:tbl>
    <w:p w14:paraId="34FEA520" w14:textId="77777777" w:rsidR="00C82ACE" w:rsidRDefault="00C82ACE" w:rsidP="004D1CE9">
      <w:pPr>
        <w:pStyle w:val="ListParagraph"/>
      </w:pPr>
    </w:p>
    <w:p w14:paraId="63176344" w14:textId="4C6273BF" w:rsidR="00D52FE2" w:rsidRDefault="00D52FE2" w:rsidP="00D52FE2">
      <w:pPr>
        <w:pStyle w:val="Heading1"/>
      </w:pPr>
      <w:r>
        <w:t>Contexte</w:t>
      </w:r>
    </w:p>
    <w:p w14:paraId="18216DCB" w14:textId="77777777" w:rsidR="00D52FE2" w:rsidRPr="00D52FE2" w:rsidRDefault="00D52FE2" w:rsidP="00D52FE2"/>
    <w:p w14:paraId="70CAF6E3" w14:textId="77777777" w:rsidR="00353A1B" w:rsidRDefault="00353A1B" w:rsidP="00353A1B">
      <w:r>
        <w:t xml:space="preserve">Les institutions financières non-bancaires (NBFI), notamment les fonds d’investissement, jouent un rôle croissant dans le système financier mondial. Leur interconnexion avec les banques via des détentions croisées d’actifs peut constituer un canal de transmission du risque systémique. Ce projet vise à analyser ces interconnexions à partir des données publiques de la Banque des Règlements Internationaux (BIS), en particulier les </w:t>
      </w:r>
      <w:proofErr w:type="spellStart"/>
      <w:r>
        <w:t>Locational</w:t>
      </w:r>
      <w:proofErr w:type="spellEnd"/>
      <w:r>
        <w:t xml:space="preserve"> Banking </w:t>
      </w:r>
      <w:proofErr w:type="spellStart"/>
      <w:r>
        <w:t>Statistics</w:t>
      </w:r>
      <w:proofErr w:type="spellEnd"/>
      <w:r>
        <w:t xml:space="preserve"> (LBS), qui fournissent des données agrégées sur les positions extérieures des banques par pays et par secteur.</w:t>
      </w:r>
    </w:p>
    <w:p w14:paraId="58A425EE" w14:textId="77777777" w:rsidR="007259BD" w:rsidRDefault="007259BD" w:rsidP="004D1CE9">
      <w:pPr>
        <w:pStyle w:val="ListParagraph"/>
      </w:pPr>
    </w:p>
    <w:p w14:paraId="01A2000B" w14:textId="457029AC" w:rsidR="00C82ACE" w:rsidRDefault="00C82ACE" w:rsidP="00B056AD">
      <w:r>
        <w:t xml:space="preserve">Question de </w:t>
      </w:r>
      <w:r w:rsidR="00B056AD">
        <w:t>recherche : Dans quelle mesure les détentions croisées entre banques et fonds d’investissement contribuent-elles à la propagation du risque systémique à l’échelle internationale ?</w:t>
      </w:r>
    </w:p>
    <w:p w14:paraId="2581CB65" w14:textId="77777777" w:rsidR="007259BD" w:rsidRDefault="007259BD" w:rsidP="007259BD">
      <w:pPr>
        <w:pStyle w:val="ListParagraph"/>
      </w:pPr>
    </w:p>
    <w:p w14:paraId="40186046" w14:textId="58613D84" w:rsidR="00D873A4" w:rsidRDefault="00BA4A1C" w:rsidP="007259BD">
      <w:pPr>
        <w:pStyle w:val="Heading1"/>
      </w:pPr>
      <w:r>
        <w:t>Données</w:t>
      </w:r>
    </w:p>
    <w:p w14:paraId="33BD91A6" w14:textId="77777777" w:rsidR="00C82ACE" w:rsidRDefault="00C82ACE" w:rsidP="00C82ACE"/>
    <w:p w14:paraId="51EE0324" w14:textId="5F02AC85" w:rsidR="00C82ACE" w:rsidRDefault="00085E95" w:rsidP="00C82ACE">
      <w:pPr>
        <w:pStyle w:val="Heading2"/>
      </w:pPr>
      <w:r>
        <w:t>Données BIS</w:t>
      </w:r>
    </w:p>
    <w:p w14:paraId="512FED7B" w14:textId="77777777" w:rsidR="00D52FE2" w:rsidRDefault="00D52FE2" w:rsidP="00D52FE2"/>
    <w:p w14:paraId="53AFA775" w14:textId="77777777" w:rsidR="00FA3417" w:rsidRPr="00FA3417" w:rsidRDefault="00FA3417" w:rsidP="00FA3417">
      <w:r w:rsidRPr="00FA3417">
        <w:t xml:space="preserve">Les </w:t>
      </w:r>
      <w:r w:rsidRPr="00FA3417">
        <w:rPr>
          <w:b/>
          <w:bCs/>
        </w:rPr>
        <w:t>statistiques bancaires par localisation (LBS)</w:t>
      </w:r>
      <w:r w:rsidRPr="00FA3417">
        <w:t xml:space="preserve"> mesurent l’activité bancaire internationale selon une approche par résidence, en se concentrant sur l’emplacement du bureau bancaire.</w:t>
      </w:r>
    </w:p>
    <w:p w14:paraId="14B82818" w14:textId="77777777" w:rsidR="00FA3417" w:rsidRPr="00FA3417" w:rsidRDefault="00FA3417" w:rsidP="00FA3417">
      <w:r w:rsidRPr="00FA3417">
        <w:t>Elles sont établies selon des principes cohérents avec les statistiques de la balance des paiements. Les LBS couvrent les créances (actifs financiers) et les engagements des banques actives à l’international situées dans les pays déclarants, vis-à-vis de contreparties résidant dans plus de 200 pays.</w:t>
      </w:r>
    </w:p>
    <w:p w14:paraId="77E6EC78" w14:textId="77777777" w:rsidR="00FA3417" w:rsidRPr="00FA3417" w:rsidRDefault="00FA3417" w:rsidP="00FA3417">
      <w:r w:rsidRPr="00FA3417">
        <w:t xml:space="preserve">Les banques enregistrent leurs positions sur une base non consolidée, incluant </w:t>
      </w:r>
      <w:proofErr w:type="gramStart"/>
      <w:r w:rsidRPr="00FA3417">
        <w:t>les positions intragroupe</w:t>
      </w:r>
      <w:proofErr w:type="gramEnd"/>
      <w:r w:rsidRPr="00FA3417">
        <w:t xml:space="preserve"> entre bureaux d’un même groupe bancaire. Les LBS capturent environ </w:t>
      </w:r>
      <w:r w:rsidRPr="00FA3417">
        <w:rPr>
          <w:b/>
          <w:bCs/>
        </w:rPr>
        <w:t>95 % de l’activité bancaire transfrontalière</w:t>
      </w:r>
      <w:r w:rsidRPr="00FA3417">
        <w:t>.</w:t>
      </w:r>
    </w:p>
    <w:p w14:paraId="61D8B947" w14:textId="77777777" w:rsidR="00FA3417" w:rsidRDefault="00FA3417" w:rsidP="00D52FE2"/>
    <w:p w14:paraId="183E0C6F" w14:textId="7F6D23B2" w:rsidR="00592E45" w:rsidRDefault="00592E45" w:rsidP="00FA3417">
      <w:pPr>
        <w:jc w:val="left"/>
      </w:pPr>
      <w:r>
        <w:t xml:space="preserve">- Type de données : </w:t>
      </w:r>
      <w:r w:rsidR="0084514C">
        <w:t xml:space="preserve">Séries temporelles </w:t>
      </w:r>
      <w:proofErr w:type="spellStart"/>
      <w:r>
        <w:t>grégées</w:t>
      </w:r>
      <w:proofErr w:type="spellEnd"/>
      <w:r>
        <w:t xml:space="preserve"> par pays, secteur, instrument</w:t>
      </w:r>
      <w:r w:rsidR="0084514C">
        <w:t>, devise…</w:t>
      </w:r>
      <w:r>
        <w:br/>
        <w:t>- Fréquence : Trimestrielle</w:t>
      </w:r>
      <w:r>
        <w:br/>
        <w:t>- Période couverte : 2000 à aujourd’hui</w:t>
      </w:r>
      <w:r>
        <w:br/>
      </w:r>
    </w:p>
    <w:p w14:paraId="16EF4143" w14:textId="77777777" w:rsidR="0084514C" w:rsidRDefault="0084514C" w:rsidP="00FA3417">
      <w:pPr>
        <w:jc w:val="left"/>
      </w:pPr>
    </w:p>
    <w:p w14:paraId="751A83B1" w14:textId="77777777" w:rsidR="0084514C" w:rsidRDefault="0084514C" w:rsidP="00FA3417">
      <w:pPr>
        <w:jc w:val="left"/>
      </w:pPr>
    </w:p>
    <w:p w14:paraId="162D0387" w14:textId="77777777" w:rsidR="0084514C" w:rsidRDefault="0084514C" w:rsidP="00FA3417">
      <w:pPr>
        <w:jc w:val="left"/>
      </w:pPr>
    </w:p>
    <w:p w14:paraId="3F12C1C9" w14:textId="77777777" w:rsidR="0084514C" w:rsidRDefault="0084514C" w:rsidP="00FA3417">
      <w:pPr>
        <w:jc w:val="left"/>
      </w:pPr>
    </w:p>
    <w:p w14:paraId="368B9935" w14:textId="77777777" w:rsidR="0084514C" w:rsidRDefault="0084514C" w:rsidP="00FA3417">
      <w:pPr>
        <w:jc w:val="left"/>
      </w:pPr>
    </w:p>
    <w:p w14:paraId="4C175D57" w14:textId="7DA22643" w:rsidR="00C82ACE" w:rsidRDefault="00C003AA" w:rsidP="00C82ACE">
      <w:pPr>
        <w:pStyle w:val="Heading2"/>
      </w:pPr>
      <w:r>
        <w:lastRenderedPageBreak/>
        <w:t>Sources complémentaires (à mobiliser dans un second temps)</w:t>
      </w:r>
    </w:p>
    <w:p w14:paraId="0F85BED6" w14:textId="77777777" w:rsidR="00C003AA" w:rsidRDefault="00C003AA" w:rsidP="00C003AA"/>
    <w:p w14:paraId="5040851C" w14:textId="79950015" w:rsidR="00C003AA" w:rsidRDefault="00C003AA" w:rsidP="00C003AA">
      <w:pPr>
        <w:pStyle w:val="ListParagraph"/>
        <w:numPr>
          <w:ilvl w:val="0"/>
          <w:numId w:val="9"/>
        </w:numPr>
      </w:pPr>
      <w:r>
        <w:t>Données de bilan des fonds et NBFI (source : ECB, FRED)</w:t>
      </w:r>
    </w:p>
    <w:p w14:paraId="4E2BBB30" w14:textId="4D439502" w:rsidR="00C003AA" w:rsidRPr="00C003AA" w:rsidRDefault="00C003AA" w:rsidP="00C003AA">
      <w:pPr>
        <w:pStyle w:val="ListParagraph"/>
        <w:numPr>
          <w:ilvl w:val="0"/>
          <w:numId w:val="9"/>
        </w:numPr>
      </w:pPr>
      <w:r>
        <w:t>Indicateur composite de stress systémique (source : ECB)</w:t>
      </w:r>
    </w:p>
    <w:p w14:paraId="77710E7B" w14:textId="77777777" w:rsidR="00AE1A7C" w:rsidRDefault="00AE1A7C" w:rsidP="00AE1A7C">
      <w:pPr>
        <w:pStyle w:val="ListParagraph"/>
        <w:ind w:left="720"/>
      </w:pPr>
    </w:p>
    <w:p w14:paraId="2D117932" w14:textId="696A9C00" w:rsidR="00BA4A1C" w:rsidRDefault="00BA4A1C" w:rsidP="00BA4A1C">
      <w:pPr>
        <w:pStyle w:val="Heading1"/>
      </w:pPr>
      <w:r>
        <w:t>Analyses attendues et calendrier prévisionnel</w:t>
      </w:r>
    </w:p>
    <w:p w14:paraId="389B0D11" w14:textId="77777777" w:rsidR="00C82ACE" w:rsidRDefault="00C82ACE" w:rsidP="00C82ACE"/>
    <w:p w14:paraId="29E03189" w14:textId="3EAA1763" w:rsidR="000569E9" w:rsidRDefault="000569E9" w:rsidP="000569E9">
      <w:pPr>
        <w:pStyle w:val="Heading2"/>
      </w:pPr>
      <w:r>
        <w:t>Revue de littérature</w:t>
      </w:r>
      <w:r w:rsidR="00531F0A">
        <w:t xml:space="preserve"> (d’ici novembre 2025)</w:t>
      </w:r>
    </w:p>
    <w:p w14:paraId="08524310" w14:textId="77777777" w:rsidR="000569E9" w:rsidRDefault="000569E9" w:rsidP="000569E9"/>
    <w:p w14:paraId="72C0811E" w14:textId="712E2BF9" w:rsidR="00AE1A7C" w:rsidRDefault="000569E9" w:rsidP="00AE1A7C">
      <w:pPr>
        <w:pStyle w:val="ListParagraph"/>
        <w:numPr>
          <w:ilvl w:val="0"/>
          <w:numId w:val="6"/>
        </w:numPr>
      </w:pPr>
      <w:r>
        <w:t>Lire les publications transmises en bibliographie</w:t>
      </w:r>
      <w:r w:rsidR="00AE1A7C">
        <w:t xml:space="preserve"> et résumer leur apport à la littérature</w:t>
      </w:r>
    </w:p>
    <w:p w14:paraId="786F24A0" w14:textId="17D7E5E3" w:rsidR="00AE1A7C" w:rsidRDefault="00AE1A7C" w:rsidP="00AE1A7C">
      <w:pPr>
        <w:pStyle w:val="ListParagraph"/>
        <w:numPr>
          <w:ilvl w:val="0"/>
          <w:numId w:val="6"/>
        </w:numPr>
      </w:pPr>
      <w:r>
        <w:t>Mener une revue de littérature concise des publications sur le sujet</w:t>
      </w:r>
    </w:p>
    <w:p w14:paraId="2F726720" w14:textId="77777777" w:rsidR="00F5370C" w:rsidRDefault="00F5370C" w:rsidP="00F5370C"/>
    <w:p w14:paraId="0EE53C01" w14:textId="5681DE3A" w:rsidR="00F5370C" w:rsidRDefault="00F5370C" w:rsidP="00F5370C">
      <w:pPr>
        <w:pStyle w:val="Heading2"/>
      </w:pPr>
      <w:r>
        <w:t>Travail préparatoire sur les variables</w:t>
      </w:r>
      <w:r w:rsidR="00531F0A">
        <w:t xml:space="preserve"> (d’ici novembre 2025)</w:t>
      </w:r>
    </w:p>
    <w:p w14:paraId="1A7B50E1" w14:textId="7FF9265E" w:rsidR="00F5370C" w:rsidRDefault="00F5370C" w:rsidP="00F5370C">
      <w:pPr>
        <w:pStyle w:val="ListParagraph"/>
        <w:numPr>
          <w:ilvl w:val="0"/>
          <w:numId w:val="6"/>
        </w:numPr>
      </w:pPr>
      <w:r>
        <w:t>Valeurs prises par les variables – retraitements possibles</w:t>
      </w:r>
    </w:p>
    <w:p w14:paraId="18C212E4" w14:textId="725551EF" w:rsidR="00F5370C" w:rsidRDefault="00F5370C" w:rsidP="00F5370C">
      <w:pPr>
        <w:pStyle w:val="ListParagraph"/>
        <w:numPr>
          <w:ilvl w:val="0"/>
          <w:numId w:val="6"/>
        </w:numPr>
      </w:pPr>
      <w:r>
        <w:t>Valeurs manquantes ?</w:t>
      </w:r>
    </w:p>
    <w:p w14:paraId="522EBB84" w14:textId="1D9ADCD4" w:rsidR="00C82ACE" w:rsidRDefault="00C82ACE" w:rsidP="00C82ACE">
      <w:pPr>
        <w:pStyle w:val="Heading2"/>
      </w:pPr>
      <w:r>
        <w:t>Statistiques descriptives</w:t>
      </w:r>
      <w:r w:rsidR="00531F0A">
        <w:t xml:space="preserve"> (d’ici décembre 2025)</w:t>
      </w:r>
    </w:p>
    <w:p w14:paraId="18D9922C" w14:textId="77777777" w:rsidR="00C82ACE" w:rsidRDefault="00C82ACE" w:rsidP="00C82ACE"/>
    <w:p w14:paraId="144EE328" w14:textId="61831737" w:rsidR="0079473A" w:rsidRDefault="00F5370C" w:rsidP="0079473A">
      <w:pPr>
        <w:pStyle w:val="ListParagraph"/>
        <w:numPr>
          <w:ilvl w:val="0"/>
          <w:numId w:val="6"/>
        </w:numPr>
      </w:pPr>
      <w:r>
        <w:t>Ventilation des variables d’intérêts (instrument) par caractéristiques des débiteurs et créditeurs</w:t>
      </w:r>
    </w:p>
    <w:p w14:paraId="4521FAEE" w14:textId="1A287DAA" w:rsidR="00F5370C" w:rsidRDefault="00F5370C" w:rsidP="00F5370C">
      <w:pPr>
        <w:pStyle w:val="ListParagraph"/>
        <w:numPr>
          <w:ilvl w:val="0"/>
          <w:numId w:val="6"/>
        </w:numPr>
      </w:pPr>
      <w:r>
        <w:t>Distribution et dispersion des variables d’intérêts (instrument), identification des queues de distribution (moyennes, médianes, déciles, variance, écart-type…)</w:t>
      </w:r>
    </w:p>
    <w:p w14:paraId="22F63241" w14:textId="49504ABF" w:rsidR="00F5370C" w:rsidRDefault="00DA3247" w:rsidP="00F5370C">
      <w:pPr>
        <w:pStyle w:val="ListParagraph"/>
        <w:numPr>
          <w:ilvl w:val="0"/>
          <w:numId w:val="6"/>
        </w:numPr>
      </w:pPr>
      <w:r>
        <w:t xml:space="preserve">Reproduction schématique des </w:t>
      </w:r>
      <w:r w:rsidR="00870409">
        <w:t>expositions bilancielles des banques aux NBFI</w:t>
      </w:r>
    </w:p>
    <w:p w14:paraId="58407DCF" w14:textId="1F59B466" w:rsidR="00F5370C" w:rsidRDefault="00F5370C" w:rsidP="00325062">
      <w:pPr>
        <w:pStyle w:val="ListParagraph"/>
        <w:numPr>
          <w:ilvl w:val="0"/>
          <w:numId w:val="6"/>
        </w:numPr>
      </w:pPr>
      <w:r>
        <w:t>Production de graphiques résumant les statistiques descriptives produites</w:t>
      </w:r>
    </w:p>
    <w:p w14:paraId="322D1D1C" w14:textId="7A802758" w:rsidR="00AE1A7C" w:rsidRDefault="00AE1A7C" w:rsidP="00AE1A7C">
      <w:pPr>
        <w:pStyle w:val="Heading2"/>
      </w:pPr>
      <w:r>
        <w:t>Analyse de concentration</w:t>
      </w:r>
      <w:r w:rsidR="00531F0A">
        <w:t xml:space="preserve"> (janvier 2026)</w:t>
      </w:r>
    </w:p>
    <w:p w14:paraId="492EB968" w14:textId="01B3BC88" w:rsidR="00260192" w:rsidRPr="00F5370C" w:rsidRDefault="00260192" w:rsidP="00260192">
      <w:pPr>
        <w:pStyle w:val="ListParagraph"/>
        <w:numPr>
          <w:ilvl w:val="0"/>
          <w:numId w:val="6"/>
        </w:numPr>
      </w:pPr>
      <w:r w:rsidRPr="00F5370C">
        <w:t xml:space="preserve">Indice de </w:t>
      </w:r>
      <w:proofErr w:type="spellStart"/>
      <w:r w:rsidRPr="00F5370C">
        <w:t>Herfindahl-Hirschmann</w:t>
      </w:r>
      <w:proofErr w:type="spellEnd"/>
      <w:r w:rsidRPr="00F5370C">
        <w:t xml:space="preserve"> </w:t>
      </w:r>
      <w:r w:rsidR="00F5370C" w:rsidRPr="00F5370C">
        <w:t>–</w:t>
      </w:r>
      <w:r w:rsidRPr="00F5370C">
        <w:t xml:space="preserve"> </w:t>
      </w:r>
      <w:r w:rsidR="00F5370C" w:rsidRPr="00F5370C">
        <w:t>existe-t</w:t>
      </w:r>
      <w:r w:rsidR="00F5370C">
        <w:t xml:space="preserve">-il des banques surexposées à un certain type d’acteurs ? </w:t>
      </w:r>
    </w:p>
    <w:p w14:paraId="5D0C11AD" w14:textId="6EBB96DA" w:rsidR="00F5370C" w:rsidRPr="00AE1A7C" w:rsidRDefault="00260192" w:rsidP="00AE1A7C">
      <w:pPr>
        <w:pStyle w:val="ListParagraph"/>
        <w:numPr>
          <w:ilvl w:val="0"/>
          <w:numId w:val="6"/>
        </w:numPr>
      </w:pPr>
      <w:r>
        <w:t>Graphique en réseau de neurones – qui prête à qui, et quelles sont les proximités ?</w:t>
      </w:r>
      <w:r w:rsidR="0079473A">
        <w:t xml:space="preserve"> (</w:t>
      </w:r>
      <w:proofErr w:type="gramStart"/>
      <w:r w:rsidR="0079473A">
        <w:t>focus</w:t>
      </w:r>
      <w:proofErr w:type="gramEnd"/>
      <w:r w:rsidR="0079473A">
        <w:t xml:space="preserve"> sur les expositions transfrontières)</w:t>
      </w:r>
    </w:p>
    <w:p w14:paraId="60A5A575" w14:textId="710E0BF8" w:rsidR="00AB5FEC" w:rsidRDefault="00DA1E7D" w:rsidP="004D1CE9">
      <w:pPr>
        <w:pStyle w:val="Heading2"/>
      </w:pPr>
      <w:r>
        <w:t>Analyse de sensibilité aux cycles financiers</w:t>
      </w:r>
      <w:r w:rsidR="00531F0A">
        <w:t xml:space="preserve"> (février mars avril 2026)</w:t>
      </w:r>
    </w:p>
    <w:p w14:paraId="694D7FE3" w14:textId="13950082" w:rsidR="00531F0A" w:rsidRDefault="00531F0A" w:rsidP="00531F0A">
      <w:pPr>
        <w:pStyle w:val="ListParagraph"/>
        <w:numPr>
          <w:ilvl w:val="0"/>
          <w:numId w:val="6"/>
        </w:numPr>
      </w:pPr>
      <w:r>
        <w:t xml:space="preserve">Déterminants de l’évolution des </w:t>
      </w:r>
      <w:r w:rsidR="00DA3247">
        <w:t xml:space="preserve">prêts aux NBFI </w:t>
      </w:r>
      <w:r>
        <w:t>: modèles ARMA/ARIMA</w:t>
      </w:r>
    </w:p>
    <w:p w14:paraId="2238BF08" w14:textId="1BB1F84E" w:rsidR="00531F0A" w:rsidRDefault="00531F0A" w:rsidP="00531F0A">
      <w:pPr>
        <w:pStyle w:val="ListParagraph"/>
        <w:numPr>
          <w:ilvl w:val="0"/>
          <w:numId w:val="6"/>
        </w:numPr>
      </w:pPr>
      <w:r>
        <w:t xml:space="preserve">Test de causalité de Granger (valeur prédictive </w:t>
      </w:r>
      <w:r w:rsidR="00360F41">
        <w:t>du</w:t>
      </w:r>
      <w:r>
        <w:t xml:space="preserve"> cycle financier</w:t>
      </w:r>
      <w:r w:rsidR="00360F41">
        <w:t xml:space="preserve"> sur l</w:t>
      </w:r>
      <w:r w:rsidR="00DA3247">
        <w:t>es prêts aux NBFI</w:t>
      </w:r>
      <w:r>
        <w:t>)</w:t>
      </w:r>
    </w:p>
    <w:p w14:paraId="52822D86" w14:textId="77777777" w:rsidR="00360F41" w:rsidRDefault="00360F41" w:rsidP="00360F41"/>
    <w:p w14:paraId="40DCE033" w14:textId="0DA13A95" w:rsidR="00BA4A1C" w:rsidRDefault="00BA4A1C" w:rsidP="00BA4A1C">
      <w:pPr>
        <w:pStyle w:val="Heading1"/>
      </w:pPr>
      <w:r>
        <w:t>Bibliographie</w:t>
      </w:r>
      <w:r w:rsidR="000569E9">
        <w:t xml:space="preserve"> indicative</w:t>
      </w:r>
    </w:p>
    <w:p w14:paraId="1C87CB1B" w14:textId="77777777" w:rsidR="000569E9" w:rsidRDefault="000569E9" w:rsidP="000569E9"/>
    <w:p w14:paraId="0DCD111A" w14:textId="3656EC27" w:rsidR="000569E9" w:rsidRPr="005844A0" w:rsidRDefault="00360F41" w:rsidP="000569E9">
      <w:pPr>
        <w:rPr>
          <w:u w:val="single"/>
        </w:rPr>
      </w:pPr>
      <w:r w:rsidRPr="005844A0">
        <w:rPr>
          <w:u w:val="single"/>
        </w:rPr>
        <w:t xml:space="preserve">Manuels </w:t>
      </w:r>
      <w:proofErr w:type="spellStart"/>
      <w:r w:rsidRPr="005844A0">
        <w:rPr>
          <w:u w:val="single"/>
        </w:rPr>
        <w:t>Anacrédit</w:t>
      </w:r>
      <w:proofErr w:type="spellEnd"/>
      <w:r w:rsidRPr="005844A0">
        <w:rPr>
          <w:u w:val="single"/>
        </w:rPr>
        <w:t xml:space="preserve"> : </w:t>
      </w:r>
    </w:p>
    <w:p w14:paraId="5F93E2EE" w14:textId="77777777" w:rsidR="00360F41" w:rsidRDefault="00360F41" w:rsidP="000569E9"/>
    <w:p w14:paraId="4ACFA195" w14:textId="2111F35C" w:rsidR="00360F41" w:rsidRPr="00360F41" w:rsidRDefault="00360F41" w:rsidP="000569E9">
      <w:pPr>
        <w:rPr>
          <w:lang w:val="en-US"/>
        </w:rPr>
      </w:pPr>
      <w:hyperlink r:id="rId8" w:history="1">
        <w:proofErr w:type="spellStart"/>
        <w:r w:rsidRPr="00360F41">
          <w:rPr>
            <w:rStyle w:val="Hyperlink"/>
            <w:lang w:val="en-US"/>
          </w:rPr>
          <w:t>AnaCredit</w:t>
        </w:r>
        <w:proofErr w:type="spellEnd"/>
        <w:r w:rsidRPr="00360F41">
          <w:rPr>
            <w:rStyle w:val="Hyperlink"/>
            <w:lang w:val="en-US"/>
          </w:rPr>
          <w:t xml:space="preserve"> Reporting Manual Part I – General Methodology</w:t>
        </w:r>
      </w:hyperlink>
    </w:p>
    <w:p w14:paraId="793C124E" w14:textId="52BCAF36" w:rsidR="00360F41" w:rsidRPr="00360F41" w:rsidRDefault="00360F41" w:rsidP="000569E9">
      <w:pPr>
        <w:rPr>
          <w:lang w:val="en-US"/>
        </w:rPr>
      </w:pPr>
      <w:hyperlink r:id="rId9" w:history="1">
        <w:proofErr w:type="spellStart"/>
        <w:r w:rsidRPr="00360F41">
          <w:rPr>
            <w:rStyle w:val="Hyperlink"/>
            <w:lang w:val="en-US"/>
          </w:rPr>
          <w:t>AnaCredit</w:t>
        </w:r>
        <w:proofErr w:type="spellEnd"/>
        <w:r w:rsidRPr="00360F41">
          <w:rPr>
            <w:rStyle w:val="Hyperlink"/>
            <w:lang w:val="en-US"/>
          </w:rPr>
          <w:t xml:space="preserve"> Reporting Manual - Part II – Datasets and data attributes</w:t>
        </w:r>
      </w:hyperlink>
    </w:p>
    <w:p w14:paraId="14F56E93" w14:textId="5365D7C5" w:rsidR="00360F41" w:rsidRPr="00050C6A" w:rsidRDefault="00360F41" w:rsidP="000569E9">
      <w:pPr>
        <w:rPr>
          <w:lang w:val="en-US"/>
        </w:rPr>
      </w:pPr>
      <w:hyperlink r:id="rId10" w:history="1">
        <w:proofErr w:type="spellStart"/>
        <w:r w:rsidRPr="00360F41">
          <w:rPr>
            <w:rStyle w:val="Hyperlink"/>
            <w:lang w:val="en-US"/>
          </w:rPr>
          <w:t>AnaCredit</w:t>
        </w:r>
        <w:proofErr w:type="spellEnd"/>
        <w:r w:rsidRPr="00360F41">
          <w:rPr>
            <w:rStyle w:val="Hyperlink"/>
            <w:lang w:val="en-US"/>
          </w:rPr>
          <w:t xml:space="preserve"> Reporting Manual Part III – Case studies, second edition</w:t>
        </w:r>
      </w:hyperlink>
    </w:p>
    <w:p w14:paraId="27A9F97C" w14:textId="77777777" w:rsidR="00360F41" w:rsidRPr="00050C6A" w:rsidRDefault="00360F41" w:rsidP="000569E9">
      <w:pPr>
        <w:rPr>
          <w:lang w:val="en-US"/>
        </w:rPr>
      </w:pPr>
    </w:p>
    <w:p w14:paraId="076E1631" w14:textId="65E0F036" w:rsidR="00360F41" w:rsidRDefault="00360F41" w:rsidP="000569E9">
      <w:pPr>
        <w:rPr>
          <w:u w:val="single"/>
        </w:rPr>
      </w:pPr>
      <w:r w:rsidRPr="005844A0">
        <w:rPr>
          <w:u w:val="single"/>
        </w:rPr>
        <w:lastRenderedPageBreak/>
        <w:t>Papiers et analyses sur les lignes de crédit à la NBFI</w:t>
      </w:r>
      <w:r w:rsidR="005844A0" w:rsidRPr="005844A0">
        <w:rPr>
          <w:u w:val="single"/>
        </w:rPr>
        <w:t> :</w:t>
      </w:r>
    </w:p>
    <w:p w14:paraId="2FD2EE92" w14:textId="77777777" w:rsidR="005844A0" w:rsidRPr="005844A0" w:rsidRDefault="005844A0" w:rsidP="000569E9">
      <w:pPr>
        <w:rPr>
          <w:u w:val="single"/>
        </w:rPr>
      </w:pPr>
    </w:p>
    <w:p w14:paraId="68790434" w14:textId="46C0E8B0" w:rsidR="00360F41" w:rsidRPr="00360F41" w:rsidRDefault="00360F41" w:rsidP="000569E9">
      <w:pPr>
        <w:rPr>
          <w:lang w:val="en-US"/>
        </w:rPr>
      </w:pPr>
      <w:hyperlink r:id="rId11" w:history="1">
        <w:r w:rsidRPr="00360F41">
          <w:rPr>
            <w:rStyle w:val="Hyperlink"/>
            <w:lang w:val="en-US"/>
          </w:rPr>
          <w:t>Shadow Always Touches the Feet: Implications of Bank Credit Lines to Non-Bank Financial Intermediaries | NBER</w:t>
        </w:r>
      </w:hyperlink>
      <w:r w:rsidRPr="00360F41">
        <w:rPr>
          <w:lang w:val="en-US"/>
        </w:rPr>
        <w:t xml:space="preserve"> </w:t>
      </w:r>
      <w:r>
        <w:rPr>
          <w:lang w:val="en-US"/>
        </w:rPr>
        <w:t>(Acharya et al. 2025)</w:t>
      </w:r>
    </w:p>
    <w:p w14:paraId="3816DE5B" w14:textId="7AC115FE" w:rsidR="00360F41" w:rsidRDefault="00360F41" w:rsidP="000569E9">
      <w:pPr>
        <w:rPr>
          <w:lang w:val="en-US"/>
        </w:rPr>
      </w:pPr>
      <w:hyperlink r:id="rId12" w:history="1">
        <w:r w:rsidRPr="00360F41">
          <w:rPr>
            <w:rStyle w:val="Hyperlink"/>
            <w:lang w:val="en-US"/>
          </w:rPr>
          <w:t>EU Non-bank Financial Intermediation Risk Monitor 2025</w:t>
        </w:r>
      </w:hyperlink>
      <w:r>
        <w:rPr>
          <w:lang w:val="en-US"/>
        </w:rPr>
        <w:t xml:space="preserve"> (ESRB)</w:t>
      </w:r>
    </w:p>
    <w:p w14:paraId="2457F24C" w14:textId="188E6E46" w:rsidR="00360F41" w:rsidRDefault="00360F41" w:rsidP="000569E9">
      <w:pPr>
        <w:rPr>
          <w:lang w:val="en-US"/>
        </w:rPr>
      </w:pPr>
      <w:hyperlink r:id="rId13" w:history="1">
        <w:r w:rsidRPr="00360F41">
          <w:rPr>
            <w:rStyle w:val="Hyperlink"/>
            <w:lang w:val="en-US"/>
          </w:rPr>
          <w:t>The Fed - Shifting Dynamics in Bank Funding of NBFIs: The Rise of Credit Lines</w:t>
        </w:r>
      </w:hyperlink>
      <w:r>
        <w:rPr>
          <w:lang w:val="en-US"/>
        </w:rPr>
        <w:t xml:space="preserve"> (Fed)</w:t>
      </w:r>
    </w:p>
    <w:p w14:paraId="0CE83A64" w14:textId="77777777" w:rsidR="00360F41" w:rsidRPr="00360F41" w:rsidRDefault="00360F41" w:rsidP="000569E9">
      <w:pPr>
        <w:rPr>
          <w:lang w:val="en-US"/>
        </w:rPr>
      </w:pPr>
    </w:p>
    <w:p w14:paraId="6B0B5120" w14:textId="7633F939" w:rsidR="00360F41" w:rsidRPr="005844A0" w:rsidRDefault="00360F41" w:rsidP="000569E9">
      <w:pPr>
        <w:rPr>
          <w:u w:val="single"/>
        </w:rPr>
      </w:pPr>
      <w:r w:rsidRPr="005844A0">
        <w:rPr>
          <w:u w:val="single"/>
        </w:rPr>
        <w:t>Interconnexions banques – NBFI</w:t>
      </w:r>
      <w:r w:rsidR="005844A0" w:rsidRPr="005844A0">
        <w:rPr>
          <w:u w:val="single"/>
        </w:rPr>
        <w:t xml:space="preserve"> (en plus) :</w:t>
      </w:r>
    </w:p>
    <w:p w14:paraId="5D73DF8D" w14:textId="77777777" w:rsidR="00360F41" w:rsidRDefault="00360F41" w:rsidP="000569E9"/>
    <w:p w14:paraId="205C3532" w14:textId="568B5030" w:rsidR="00360F41" w:rsidRDefault="00360F41" w:rsidP="000569E9">
      <w:pPr>
        <w:rPr>
          <w:lang w:val="en-US"/>
        </w:rPr>
      </w:pPr>
      <w:hyperlink r:id="rId14" w:history="1">
        <w:r w:rsidRPr="00360F41">
          <w:rPr>
            <w:rStyle w:val="Hyperlink"/>
            <w:lang w:val="en-US"/>
          </w:rPr>
          <w:t>Banks' interconnections with non-bank financial intermediaries</w:t>
        </w:r>
      </w:hyperlink>
      <w:r w:rsidRPr="00360F41">
        <w:rPr>
          <w:lang w:val="en-US"/>
        </w:rPr>
        <w:t xml:space="preserve"> </w:t>
      </w:r>
      <w:r>
        <w:rPr>
          <w:lang w:val="en-US"/>
        </w:rPr>
        <w:t>(BIS)</w:t>
      </w:r>
    </w:p>
    <w:p w14:paraId="6195047F" w14:textId="350B18B4" w:rsidR="005844A0" w:rsidRPr="00360F41" w:rsidRDefault="005844A0" w:rsidP="005844A0">
      <w:pPr>
        <w:rPr>
          <w:lang w:val="en-US"/>
        </w:rPr>
      </w:pPr>
      <w:hyperlink r:id="rId15" w:history="1">
        <w:r w:rsidRPr="005844A0">
          <w:rPr>
            <w:rStyle w:val="Hyperlink"/>
            <w:lang w:val="en-US"/>
          </w:rPr>
          <w:t>Rise of Shadow Banking: Evidence from Capital Regulation | The Review of Financial Studies | Oxford Academic</w:t>
        </w:r>
      </w:hyperlink>
      <w:r>
        <w:rPr>
          <w:lang w:val="en-US"/>
        </w:rPr>
        <w:t xml:space="preserve"> (Irani et al. 2020)</w:t>
      </w:r>
    </w:p>
    <w:p w14:paraId="1A344057" w14:textId="77777777" w:rsidR="005844A0" w:rsidRPr="00360F41" w:rsidRDefault="005844A0" w:rsidP="000569E9">
      <w:pPr>
        <w:rPr>
          <w:lang w:val="en-US"/>
        </w:rPr>
      </w:pPr>
    </w:p>
    <w:sectPr w:rsidR="005844A0" w:rsidRPr="00360F41" w:rsidSect="00C06FF8">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3D93" w14:textId="77777777" w:rsidR="00FC1D6C" w:rsidRDefault="00FC1D6C" w:rsidP="00945624">
      <w:r>
        <w:separator/>
      </w:r>
    </w:p>
    <w:p w14:paraId="7191FB8D" w14:textId="77777777" w:rsidR="00FC1D6C" w:rsidRDefault="00FC1D6C" w:rsidP="00945624"/>
    <w:p w14:paraId="086C578C" w14:textId="77777777" w:rsidR="00FC1D6C" w:rsidRDefault="00FC1D6C" w:rsidP="00945624"/>
    <w:p w14:paraId="3F674AFC" w14:textId="77777777" w:rsidR="00FC1D6C" w:rsidRDefault="00FC1D6C" w:rsidP="00945624"/>
    <w:p w14:paraId="78B47711" w14:textId="77777777" w:rsidR="00FC1D6C" w:rsidRDefault="00FC1D6C"/>
  </w:endnote>
  <w:endnote w:type="continuationSeparator" w:id="0">
    <w:p w14:paraId="06EDBED2" w14:textId="77777777" w:rsidR="00FC1D6C" w:rsidRDefault="00FC1D6C" w:rsidP="00945624">
      <w:r>
        <w:continuationSeparator/>
      </w:r>
    </w:p>
    <w:p w14:paraId="69BE29E5" w14:textId="77777777" w:rsidR="00FC1D6C" w:rsidRDefault="00FC1D6C" w:rsidP="00945624"/>
    <w:p w14:paraId="3F5A2B74" w14:textId="77777777" w:rsidR="00FC1D6C" w:rsidRDefault="00FC1D6C" w:rsidP="00945624"/>
    <w:p w14:paraId="0141E540" w14:textId="77777777" w:rsidR="00FC1D6C" w:rsidRDefault="00FC1D6C" w:rsidP="00945624"/>
    <w:p w14:paraId="58046F23" w14:textId="77777777" w:rsidR="00FC1D6C" w:rsidRDefault="00FC1D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7192" w14:textId="77777777" w:rsidR="00322089" w:rsidRDefault="00322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170170"/>
      <w:docPartObj>
        <w:docPartGallery w:val="Page Numbers (Bottom of Page)"/>
        <w:docPartUnique/>
      </w:docPartObj>
    </w:sdtPr>
    <w:sdtEndPr>
      <w:rPr>
        <w:color w:val="0452A5"/>
      </w:rPr>
    </w:sdtEndPr>
    <w:sdtContent>
      <w:p w14:paraId="487DF5A1" w14:textId="77777777" w:rsidR="004242F4" w:rsidRPr="00D82D42" w:rsidRDefault="00194D4C" w:rsidP="00D82D42">
        <w:pPr>
          <w:pStyle w:val="Footer"/>
          <w:jc w:val="left"/>
          <w:rPr>
            <w:color w:val="0452A5"/>
          </w:rPr>
        </w:pPr>
        <w:r>
          <w:fldChar w:fldCharType="begin"/>
        </w:r>
        <w:r>
          <w:instrText xml:space="preserve"> REF Classification \h </w:instrText>
        </w:r>
        <w:r>
          <w:fldChar w:fldCharType="separate"/>
        </w:r>
        <w:sdt>
          <w:sdtPr>
            <w:rPr>
              <w:b/>
              <w:color w:val="0452A5"/>
              <w:szCs w:val="24"/>
            </w:rPr>
            <w:alias w:val="Choisir un niveau de classification"/>
            <w:tag w:val="Choisir un niveau de classification"/>
            <w:id w:val="-152531005"/>
            <w15:color w:val="0452A5"/>
            <w:dropDownList>
              <w:listItem w:displayText="SECRET" w:value="SECRET"/>
              <w:listItem w:displayText="CONFIDENTIEL" w:value="CONFIDENTIEL"/>
              <w:listItem w:displayText="RESTREINT" w:value="RESTREINT"/>
              <w:listItem w:displayText="PUBLIC" w:value="PUBLIC"/>
              <w:listItem w:displayText="INTERNE" w:value="INTERNE"/>
            </w:dropDownList>
          </w:sdtPr>
          <w:sdtEndPr/>
          <w:sdtContent>
            <w:r w:rsidR="00BA4A1C">
              <w:rPr>
                <w:b/>
                <w:color w:val="0452A5"/>
                <w:szCs w:val="24"/>
              </w:rPr>
              <w:t>RESTREINT</w:t>
            </w:r>
          </w:sdtContent>
        </w:sdt>
        <w:r>
          <w:fldChar w:fldCharType="end"/>
        </w:r>
        <w:r w:rsidR="00D82D42">
          <w:tab/>
        </w:r>
        <w:r w:rsidR="002C3CA5" w:rsidRPr="002C3CA5">
          <w:rPr>
            <w:bCs/>
            <w:color w:val="0452A5"/>
          </w:rPr>
          <w:fldChar w:fldCharType="begin"/>
        </w:r>
        <w:r w:rsidR="002C3CA5" w:rsidRPr="002C3CA5">
          <w:rPr>
            <w:bCs/>
            <w:color w:val="0452A5"/>
          </w:rPr>
          <w:instrText>PAGE  \* Arabic  \* MERGEFORMAT</w:instrText>
        </w:r>
        <w:r w:rsidR="002C3CA5" w:rsidRPr="002C3CA5">
          <w:rPr>
            <w:bCs/>
            <w:color w:val="0452A5"/>
          </w:rPr>
          <w:fldChar w:fldCharType="separate"/>
        </w:r>
        <w:r w:rsidR="00322089">
          <w:rPr>
            <w:bCs/>
            <w:noProof/>
            <w:color w:val="0452A5"/>
          </w:rPr>
          <w:t>2</w:t>
        </w:r>
        <w:r w:rsidR="002C3CA5" w:rsidRPr="002C3CA5">
          <w:rPr>
            <w:bCs/>
            <w:color w:val="0452A5"/>
          </w:rPr>
          <w:fldChar w:fldCharType="end"/>
        </w:r>
        <w:r w:rsidR="002C3CA5" w:rsidRPr="002C3CA5">
          <w:rPr>
            <w:color w:val="0452A5"/>
          </w:rPr>
          <w:t>/</w:t>
        </w:r>
        <w:r w:rsidR="002C3CA5" w:rsidRPr="002C3CA5">
          <w:rPr>
            <w:bCs/>
            <w:color w:val="0452A5"/>
          </w:rPr>
          <w:fldChar w:fldCharType="begin"/>
        </w:r>
        <w:r w:rsidR="002C3CA5" w:rsidRPr="002C3CA5">
          <w:rPr>
            <w:bCs/>
            <w:color w:val="0452A5"/>
          </w:rPr>
          <w:instrText>NUMPAGES  \* Arabic  \* MERGEFORMAT</w:instrText>
        </w:r>
        <w:r w:rsidR="002C3CA5" w:rsidRPr="002C3CA5">
          <w:rPr>
            <w:bCs/>
            <w:color w:val="0452A5"/>
          </w:rPr>
          <w:fldChar w:fldCharType="separate"/>
        </w:r>
        <w:r w:rsidR="00322089">
          <w:rPr>
            <w:bCs/>
            <w:noProof/>
            <w:color w:val="0452A5"/>
          </w:rPr>
          <w:t>2</w:t>
        </w:r>
        <w:r w:rsidR="002C3CA5" w:rsidRPr="002C3CA5">
          <w:rPr>
            <w:bCs/>
            <w:color w:val="0452A5"/>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84"/>
      <w:docPartObj>
        <w:docPartGallery w:val="Page Numbers (Bottom of Page)"/>
        <w:docPartUnique/>
      </w:docPartObj>
    </w:sdtPr>
    <w:sdtEndPr>
      <w:rPr>
        <w:color w:val="0452A5"/>
      </w:rPr>
    </w:sdtEndPr>
    <w:sdtContent>
      <w:bookmarkStart w:id="0" w:name="Classification" w:displacedByCustomXml="prev"/>
      <w:p w14:paraId="38FA01FB" w14:textId="77777777" w:rsidR="004242F4" w:rsidRPr="004F7617" w:rsidRDefault="00FC1D6C" w:rsidP="004F7617">
        <w:pPr>
          <w:pStyle w:val="Footer"/>
          <w:jc w:val="left"/>
          <w:rPr>
            <w:color w:val="0452A5"/>
          </w:rPr>
        </w:pPr>
        <w:sdt>
          <w:sdtPr>
            <w:rPr>
              <w:b/>
              <w:color w:val="0452A5"/>
              <w:szCs w:val="24"/>
            </w:rPr>
            <w:alias w:val="Choisir un niveau de classification"/>
            <w:tag w:val="Choisir un niveau de classification"/>
            <w:id w:val="1651943214"/>
            <w15:color w:val="0452A5"/>
            <w:dropDownList>
              <w:listItem w:displayText="SECRET" w:value="SECRET"/>
              <w:listItem w:displayText="CONFIDENTIEL" w:value="CONFIDENTIEL"/>
              <w:listItem w:displayText="RESTREINT" w:value="RESTREINT"/>
              <w:listItem w:displayText="PUBLIC" w:value="PUBLIC"/>
              <w:listItem w:displayText="INTERNE" w:value="INTERNE"/>
            </w:dropDownList>
          </w:sdtPr>
          <w:sdtEndPr/>
          <w:sdtContent>
            <w:r w:rsidR="00322089">
              <w:rPr>
                <w:b/>
                <w:color w:val="0452A5"/>
                <w:szCs w:val="24"/>
              </w:rPr>
              <w:t>RESTREINT</w:t>
            </w:r>
          </w:sdtContent>
        </w:sdt>
        <w:bookmarkEnd w:id="0"/>
        <w:r w:rsidR="001C123E">
          <w:tab/>
        </w:r>
        <w:r w:rsidR="002C3CA5" w:rsidRPr="002C3CA5">
          <w:rPr>
            <w:bCs/>
            <w:color w:val="0452A5"/>
          </w:rPr>
          <w:fldChar w:fldCharType="begin"/>
        </w:r>
        <w:r w:rsidR="002C3CA5" w:rsidRPr="002C3CA5">
          <w:rPr>
            <w:bCs/>
            <w:color w:val="0452A5"/>
          </w:rPr>
          <w:instrText>PAGE  \* Arabic  \* MERGEFORMAT</w:instrText>
        </w:r>
        <w:r w:rsidR="002C3CA5" w:rsidRPr="002C3CA5">
          <w:rPr>
            <w:bCs/>
            <w:color w:val="0452A5"/>
          </w:rPr>
          <w:fldChar w:fldCharType="separate"/>
        </w:r>
        <w:r w:rsidR="00322089">
          <w:rPr>
            <w:bCs/>
            <w:noProof/>
            <w:color w:val="0452A5"/>
          </w:rPr>
          <w:t>1</w:t>
        </w:r>
        <w:r w:rsidR="002C3CA5" w:rsidRPr="002C3CA5">
          <w:rPr>
            <w:bCs/>
            <w:color w:val="0452A5"/>
          </w:rPr>
          <w:fldChar w:fldCharType="end"/>
        </w:r>
        <w:r w:rsidR="002C3CA5" w:rsidRPr="002C3CA5">
          <w:rPr>
            <w:color w:val="0452A5"/>
          </w:rPr>
          <w:t>/</w:t>
        </w:r>
        <w:r w:rsidR="002C3CA5" w:rsidRPr="002C3CA5">
          <w:rPr>
            <w:bCs/>
            <w:color w:val="0452A5"/>
          </w:rPr>
          <w:fldChar w:fldCharType="begin"/>
        </w:r>
        <w:r w:rsidR="002C3CA5" w:rsidRPr="002C3CA5">
          <w:rPr>
            <w:bCs/>
            <w:color w:val="0452A5"/>
          </w:rPr>
          <w:instrText>NUMPAGES  \* Arabic  \* MERGEFORMAT</w:instrText>
        </w:r>
        <w:r w:rsidR="002C3CA5" w:rsidRPr="002C3CA5">
          <w:rPr>
            <w:bCs/>
            <w:color w:val="0452A5"/>
          </w:rPr>
          <w:fldChar w:fldCharType="separate"/>
        </w:r>
        <w:r w:rsidR="00322089">
          <w:rPr>
            <w:bCs/>
            <w:noProof/>
            <w:color w:val="0452A5"/>
          </w:rPr>
          <w:t>2</w:t>
        </w:r>
        <w:r w:rsidR="002C3CA5" w:rsidRPr="002C3CA5">
          <w:rPr>
            <w:bCs/>
            <w:color w:val="0452A5"/>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559E0" w14:textId="77777777" w:rsidR="00FC1D6C" w:rsidRDefault="00FC1D6C">
      <w:r>
        <w:separator/>
      </w:r>
    </w:p>
  </w:footnote>
  <w:footnote w:type="continuationSeparator" w:id="0">
    <w:p w14:paraId="7A7EEFD6" w14:textId="77777777" w:rsidR="00FC1D6C" w:rsidRDefault="00FC1D6C" w:rsidP="00945624">
      <w:r>
        <w:continuationSeparator/>
      </w:r>
    </w:p>
    <w:p w14:paraId="72C3D428" w14:textId="77777777" w:rsidR="00FC1D6C" w:rsidRDefault="00FC1D6C" w:rsidP="00945624"/>
    <w:p w14:paraId="5DAF06A1" w14:textId="77777777" w:rsidR="00FC1D6C" w:rsidRDefault="00FC1D6C" w:rsidP="00945624"/>
    <w:p w14:paraId="1E9E3152" w14:textId="77777777" w:rsidR="00FC1D6C" w:rsidRDefault="00FC1D6C" w:rsidP="00945624"/>
    <w:p w14:paraId="35D6E0AB" w14:textId="77777777" w:rsidR="00FC1D6C" w:rsidRDefault="00FC1D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5E57" w14:textId="0865216D" w:rsidR="00322089" w:rsidRDefault="005844A0">
    <w:pPr>
      <w:pStyle w:val="Header"/>
    </w:pPr>
    <w:r>
      <w:rPr>
        <w:noProof/>
      </w:rPr>
      <mc:AlternateContent>
        <mc:Choice Requires="wps">
          <w:drawing>
            <wp:anchor distT="0" distB="0" distL="0" distR="0" simplePos="0" relativeHeight="251659264" behindDoc="0" locked="0" layoutInCell="1" allowOverlap="1" wp14:anchorId="2AC01164" wp14:editId="7AC1114C">
              <wp:simplePos x="635" y="635"/>
              <wp:positionH relativeFrom="page">
                <wp:align>right</wp:align>
              </wp:positionH>
              <wp:positionV relativeFrom="page">
                <wp:align>top</wp:align>
              </wp:positionV>
              <wp:extent cx="1019810" cy="345440"/>
              <wp:effectExtent l="0" t="0" r="0" b="16510"/>
              <wp:wrapNone/>
              <wp:docPr id="466447129" name="Zone de texte 2" descr="ACPR-INTER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9810" cy="345440"/>
                      </a:xfrm>
                      <a:prstGeom prst="rect">
                        <a:avLst/>
                      </a:prstGeom>
                      <a:noFill/>
                      <a:ln>
                        <a:noFill/>
                      </a:ln>
                    </wps:spPr>
                    <wps:txbx>
                      <w:txbxContent>
                        <w:p w14:paraId="08588098" w14:textId="4649F1EE"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C01164" id="_x0000_t202" coordsize="21600,21600" o:spt="202" path="m,l,21600r21600,l21600,xe">
              <v:stroke joinstyle="miter"/>
              <v:path gradientshapeok="t" o:connecttype="rect"/>
            </v:shapetype>
            <v:shape id="Zone de texte 2" o:spid="_x0000_s1026" type="#_x0000_t202" alt="ACPR-INTERNE" style="position:absolute;left:0;text-align:left;margin-left:29.1pt;margin-top:0;width:80.3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" filled="f" stroked="f">
              <v:textbox style="mso-fit-shape-to-text:t" inset="0,15pt,20pt,0">
                <w:txbxContent>
                  <w:p w14:paraId="08588098" w14:textId="4649F1EE"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5AA5" w14:textId="281D3882" w:rsidR="00322089" w:rsidRDefault="005844A0">
    <w:pPr>
      <w:pStyle w:val="Header"/>
    </w:pPr>
    <w:r>
      <w:rPr>
        <w:noProof/>
      </w:rPr>
      <mc:AlternateContent>
        <mc:Choice Requires="wps">
          <w:drawing>
            <wp:anchor distT="0" distB="0" distL="0" distR="0" simplePos="0" relativeHeight="251660288" behindDoc="0" locked="0" layoutInCell="1" allowOverlap="1" wp14:anchorId="040D8894" wp14:editId="463681B5">
              <wp:simplePos x="635" y="635"/>
              <wp:positionH relativeFrom="page">
                <wp:align>right</wp:align>
              </wp:positionH>
              <wp:positionV relativeFrom="page">
                <wp:align>top</wp:align>
              </wp:positionV>
              <wp:extent cx="1019810" cy="345440"/>
              <wp:effectExtent l="0" t="0" r="0" b="16510"/>
              <wp:wrapNone/>
              <wp:docPr id="630426562" name="Zone de texte 3" descr="ACPR-INTER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9810" cy="345440"/>
                      </a:xfrm>
                      <a:prstGeom prst="rect">
                        <a:avLst/>
                      </a:prstGeom>
                      <a:noFill/>
                      <a:ln>
                        <a:noFill/>
                      </a:ln>
                    </wps:spPr>
                    <wps:txbx>
                      <w:txbxContent>
                        <w:p w14:paraId="447D522F" w14:textId="16C6BBE1"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40D8894" id="_x0000_t202" coordsize="21600,21600" o:spt="202" path="m,l,21600r21600,l21600,xe">
              <v:stroke joinstyle="miter"/>
              <v:path gradientshapeok="t" o:connecttype="rect"/>
            </v:shapetype>
            <v:shape id="Zone de texte 3" o:spid="_x0000_s1027" type="#_x0000_t202" alt="ACPR-INTERNE" style="position:absolute;left:0;text-align:left;margin-left:29.1pt;margin-top:0;width:80.3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" filled="f" stroked="f">
              <v:textbox style="mso-fit-shape-to-text:t" inset="0,15pt,20pt,0">
                <w:txbxContent>
                  <w:p w14:paraId="447D522F" w14:textId="16C6BBE1"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7B41" w14:textId="23EBD5B9" w:rsidR="000C7F91" w:rsidRDefault="005844A0" w:rsidP="00945624">
    <w:pPr>
      <w:pStyle w:val="Title"/>
    </w:pPr>
    <w:r>
      <mc:AlternateContent>
        <mc:Choice Requires="wps">
          <w:drawing>
            <wp:anchor distT="0" distB="0" distL="0" distR="0" simplePos="0" relativeHeight="251658240" behindDoc="0" locked="0" layoutInCell="1" allowOverlap="1" wp14:anchorId="2972DA1F" wp14:editId="7A2A7BA1">
              <wp:simplePos x="904875" y="361950"/>
              <wp:positionH relativeFrom="page">
                <wp:align>right</wp:align>
              </wp:positionH>
              <wp:positionV relativeFrom="page">
                <wp:align>top</wp:align>
              </wp:positionV>
              <wp:extent cx="1019810" cy="345440"/>
              <wp:effectExtent l="0" t="0" r="0" b="16510"/>
              <wp:wrapNone/>
              <wp:docPr id="471145779" name="Zone de texte 1" descr="ACPR-INTER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9810" cy="345440"/>
                      </a:xfrm>
                      <a:prstGeom prst="rect">
                        <a:avLst/>
                      </a:prstGeom>
                      <a:noFill/>
                      <a:ln>
                        <a:noFill/>
                      </a:ln>
                    </wps:spPr>
                    <wps:txbx>
                      <w:txbxContent>
                        <w:p w14:paraId="34D4F9AE" w14:textId="697B4AD2"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972DA1F" id="_x0000_t202" coordsize="21600,21600" o:spt="202" path="m,l,21600r21600,l21600,xe">
              <v:stroke joinstyle="miter"/>
              <v:path gradientshapeok="t" o:connecttype="rect"/>
            </v:shapetype>
            <v:shape id="Zone de texte 1" o:spid="_x0000_s1028" type="#_x0000_t202" alt="ACPR-INTERNE" style="position:absolute;left:0;text-align:left;margin-left:29.1pt;margin-top:0;width:80.3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" filled="f" stroked="f">
              <v:textbox style="mso-fit-shape-to-text:t" inset="0,15pt,20pt,0">
                <w:txbxContent>
                  <w:p w14:paraId="34D4F9AE" w14:textId="697B4AD2" w:rsidR="005844A0" w:rsidRPr="005844A0" w:rsidRDefault="005844A0" w:rsidP="005844A0">
                    <w:pPr>
                      <w:rPr>
                        <w:rFonts w:ascii="Calibri" w:eastAsia="Calibri" w:hAnsi="Calibri" w:cs="Calibri"/>
                        <w:noProof/>
                        <w:color w:val="000000"/>
                        <w:sz w:val="20"/>
                        <w:szCs w:val="20"/>
                      </w:rPr>
                    </w:pPr>
                    <w:r w:rsidRPr="005844A0">
                      <w:rPr>
                        <w:rFonts w:ascii="Calibri" w:eastAsia="Calibri" w:hAnsi="Calibri" w:cs="Calibri"/>
                        <w:noProof/>
                        <w:color w:val="000000"/>
                        <w:sz w:val="20"/>
                        <w:szCs w:val="20"/>
                      </w:rPr>
                      <w:t>ACPR-INTERNE</w:t>
                    </w:r>
                  </w:p>
                </w:txbxContent>
              </v:textbox>
              <w10:wrap anchorx="page" anchory="page"/>
            </v:shape>
          </w:pict>
        </mc:Fallback>
      </mc:AlternateContent>
    </w:r>
    <w:r w:rsidR="000C7F91" w:rsidRPr="00C5224D">
      <w:drawing>
        <wp:inline distT="0" distB="0" distL="0" distR="0" wp14:anchorId="7B619EAF" wp14:editId="6B119895">
          <wp:extent cx="2880000" cy="694176"/>
          <wp:effectExtent l="0" t="0" r="0" b="0"/>
          <wp:docPr id="16" name="Image 16" descr="C:\Users\G808985\AppData\Local\Microsoft\Windows\INetCache\Content.Outlook\NGAG3OUV\PSF-têtiè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808985\AppData\Local\Microsoft\Windows\INetCache\Content.Outlook\NGAG3OUV\PSF-têtièr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0000" cy="694176"/>
                  </a:xfrm>
                  <a:prstGeom prst="rect">
                    <a:avLst/>
                  </a:prstGeom>
                  <a:noFill/>
                  <a:ln>
                    <a:noFill/>
                  </a:ln>
                </pic:spPr>
              </pic:pic>
            </a:graphicData>
          </a:graphic>
        </wp:inline>
      </w:drawing>
    </w:r>
  </w:p>
  <w:p w14:paraId="27A03E36" w14:textId="77777777" w:rsidR="004F7617" w:rsidRPr="004F7617" w:rsidRDefault="004F7617" w:rsidP="004F7617">
    <w:pPr>
      <w:rPr>
        <w:lang w:eastAsia="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9BC"/>
    <w:multiLevelType w:val="hybridMultilevel"/>
    <w:tmpl w:val="E5C09DF4"/>
    <w:lvl w:ilvl="0" w:tplc="149AB24E">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4F75C1"/>
    <w:multiLevelType w:val="hybridMultilevel"/>
    <w:tmpl w:val="74E85BD4"/>
    <w:lvl w:ilvl="0" w:tplc="E52087FC">
      <w:start w:val="1"/>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281FAB"/>
    <w:multiLevelType w:val="hybridMultilevel"/>
    <w:tmpl w:val="AD0E6734"/>
    <w:lvl w:ilvl="0" w:tplc="29343C46">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EF7539"/>
    <w:multiLevelType w:val="hybridMultilevel"/>
    <w:tmpl w:val="24B80A3C"/>
    <w:lvl w:ilvl="0" w:tplc="41DCF45C">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65658DE"/>
    <w:multiLevelType w:val="hybridMultilevel"/>
    <w:tmpl w:val="F8824858"/>
    <w:lvl w:ilvl="0" w:tplc="D38C3D18">
      <w:start w:val="1"/>
      <w:numFmt w:val="bullet"/>
      <w:pStyle w:val="Puce"/>
      <w:lvlText w:val=""/>
      <w:lvlJc w:val="left"/>
      <w:pPr>
        <w:ind w:left="177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F565BD"/>
    <w:multiLevelType w:val="hybridMultilevel"/>
    <w:tmpl w:val="01AED3B0"/>
    <w:lvl w:ilvl="0" w:tplc="66CE8536">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BD0E7C"/>
    <w:multiLevelType w:val="multilevel"/>
    <w:tmpl w:val="892A7F4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70943D4"/>
    <w:multiLevelType w:val="hybridMultilevel"/>
    <w:tmpl w:val="630C37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FB2162C"/>
    <w:multiLevelType w:val="hybridMultilevel"/>
    <w:tmpl w:val="AC72FFCA"/>
    <w:lvl w:ilvl="0" w:tplc="BC98C14A">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8784044">
    <w:abstractNumId w:val="6"/>
  </w:num>
  <w:num w:numId="2" w16cid:durableId="278298171">
    <w:abstractNumId w:val="6"/>
  </w:num>
  <w:num w:numId="3" w16cid:durableId="692849955">
    <w:abstractNumId w:val="4"/>
  </w:num>
  <w:num w:numId="4" w16cid:durableId="2125728806">
    <w:abstractNumId w:val="7"/>
  </w:num>
  <w:num w:numId="5" w16cid:durableId="1650860123">
    <w:abstractNumId w:val="0"/>
  </w:num>
  <w:num w:numId="6" w16cid:durableId="1540437591">
    <w:abstractNumId w:val="1"/>
  </w:num>
  <w:num w:numId="7" w16cid:durableId="925305696">
    <w:abstractNumId w:val="3"/>
  </w:num>
  <w:num w:numId="8" w16cid:durableId="51778423">
    <w:abstractNumId w:val="8"/>
  </w:num>
  <w:num w:numId="9" w16cid:durableId="1868760417">
    <w:abstractNumId w:val="2"/>
  </w:num>
  <w:num w:numId="10" w16cid:durableId="2116055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A1C"/>
    <w:rsid w:val="00050C6A"/>
    <w:rsid w:val="00054343"/>
    <w:rsid w:val="000569E9"/>
    <w:rsid w:val="00061AAE"/>
    <w:rsid w:val="00063A32"/>
    <w:rsid w:val="000736A2"/>
    <w:rsid w:val="00085E95"/>
    <w:rsid w:val="000C7F91"/>
    <w:rsid w:val="000F4599"/>
    <w:rsid w:val="00131FDC"/>
    <w:rsid w:val="00194D4C"/>
    <w:rsid w:val="001B7DE8"/>
    <w:rsid w:val="001C123E"/>
    <w:rsid w:val="001D5291"/>
    <w:rsid w:val="001F018A"/>
    <w:rsid w:val="001F6B2E"/>
    <w:rsid w:val="001F7347"/>
    <w:rsid w:val="00202037"/>
    <w:rsid w:val="00211CD1"/>
    <w:rsid w:val="00237EE9"/>
    <w:rsid w:val="00260192"/>
    <w:rsid w:val="00263EAE"/>
    <w:rsid w:val="002C260B"/>
    <w:rsid w:val="002C3CA5"/>
    <w:rsid w:val="002E5CC8"/>
    <w:rsid w:val="002F251D"/>
    <w:rsid w:val="00301CCB"/>
    <w:rsid w:val="00322089"/>
    <w:rsid w:val="00325062"/>
    <w:rsid w:val="003345F0"/>
    <w:rsid w:val="003428A2"/>
    <w:rsid w:val="00353A1B"/>
    <w:rsid w:val="00360F41"/>
    <w:rsid w:val="00374FDC"/>
    <w:rsid w:val="003A3749"/>
    <w:rsid w:val="003C4B09"/>
    <w:rsid w:val="00420FFD"/>
    <w:rsid w:val="004242F4"/>
    <w:rsid w:val="00432E6E"/>
    <w:rsid w:val="004712DE"/>
    <w:rsid w:val="004B6AAF"/>
    <w:rsid w:val="004D1CE9"/>
    <w:rsid w:val="004D4C16"/>
    <w:rsid w:val="004D5E6C"/>
    <w:rsid w:val="004F4B35"/>
    <w:rsid w:val="004F7617"/>
    <w:rsid w:val="00531ED6"/>
    <w:rsid w:val="00531F0A"/>
    <w:rsid w:val="005640EB"/>
    <w:rsid w:val="00574FFC"/>
    <w:rsid w:val="005844A0"/>
    <w:rsid w:val="00587928"/>
    <w:rsid w:val="00592E45"/>
    <w:rsid w:val="005A7B2F"/>
    <w:rsid w:val="005C5551"/>
    <w:rsid w:val="00614689"/>
    <w:rsid w:val="006C1AF4"/>
    <w:rsid w:val="006F7C25"/>
    <w:rsid w:val="0071630D"/>
    <w:rsid w:val="007206A3"/>
    <w:rsid w:val="007259BD"/>
    <w:rsid w:val="007312AB"/>
    <w:rsid w:val="00731A6A"/>
    <w:rsid w:val="00761613"/>
    <w:rsid w:val="00764C25"/>
    <w:rsid w:val="00791DC0"/>
    <w:rsid w:val="00792E7A"/>
    <w:rsid w:val="0079473A"/>
    <w:rsid w:val="00796379"/>
    <w:rsid w:val="007F3752"/>
    <w:rsid w:val="007F61A1"/>
    <w:rsid w:val="00834D68"/>
    <w:rsid w:val="00840A7A"/>
    <w:rsid w:val="0084514C"/>
    <w:rsid w:val="0085644A"/>
    <w:rsid w:val="00870409"/>
    <w:rsid w:val="00883E15"/>
    <w:rsid w:val="0088451E"/>
    <w:rsid w:val="0089667B"/>
    <w:rsid w:val="008A3768"/>
    <w:rsid w:val="008D5ED4"/>
    <w:rsid w:val="008E19E6"/>
    <w:rsid w:val="00910F8A"/>
    <w:rsid w:val="00915D11"/>
    <w:rsid w:val="00920C3E"/>
    <w:rsid w:val="00922C1E"/>
    <w:rsid w:val="0094153D"/>
    <w:rsid w:val="00945624"/>
    <w:rsid w:val="009511CD"/>
    <w:rsid w:val="00985390"/>
    <w:rsid w:val="009B02ED"/>
    <w:rsid w:val="009D777D"/>
    <w:rsid w:val="00A1693F"/>
    <w:rsid w:val="00A34CD4"/>
    <w:rsid w:val="00A55694"/>
    <w:rsid w:val="00AA7DC2"/>
    <w:rsid w:val="00AB00D9"/>
    <w:rsid w:val="00AB4A6C"/>
    <w:rsid w:val="00AB5FEC"/>
    <w:rsid w:val="00AC26AC"/>
    <w:rsid w:val="00AE1A7C"/>
    <w:rsid w:val="00B056AD"/>
    <w:rsid w:val="00B05CDA"/>
    <w:rsid w:val="00B71DCE"/>
    <w:rsid w:val="00B86740"/>
    <w:rsid w:val="00B968BF"/>
    <w:rsid w:val="00BA4A1C"/>
    <w:rsid w:val="00C003AA"/>
    <w:rsid w:val="00C06FF8"/>
    <w:rsid w:val="00C13EB6"/>
    <w:rsid w:val="00C5183B"/>
    <w:rsid w:val="00C5224D"/>
    <w:rsid w:val="00C82ACE"/>
    <w:rsid w:val="00C858B0"/>
    <w:rsid w:val="00CA2604"/>
    <w:rsid w:val="00CC5EC9"/>
    <w:rsid w:val="00CF2583"/>
    <w:rsid w:val="00CF3B1E"/>
    <w:rsid w:val="00CF3C5C"/>
    <w:rsid w:val="00D30644"/>
    <w:rsid w:val="00D34934"/>
    <w:rsid w:val="00D52FE2"/>
    <w:rsid w:val="00D5449C"/>
    <w:rsid w:val="00D75692"/>
    <w:rsid w:val="00D82D42"/>
    <w:rsid w:val="00D873A4"/>
    <w:rsid w:val="00D97F7D"/>
    <w:rsid w:val="00DA1E7D"/>
    <w:rsid w:val="00DA3247"/>
    <w:rsid w:val="00DA623E"/>
    <w:rsid w:val="00DC07B9"/>
    <w:rsid w:val="00DC103F"/>
    <w:rsid w:val="00E30385"/>
    <w:rsid w:val="00E403C3"/>
    <w:rsid w:val="00E43BB2"/>
    <w:rsid w:val="00E80D21"/>
    <w:rsid w:val="00E94637"/>
    <w:rsid w:val="00ED3EE2"/>
    <w:rsid w:val="00F27406"/>
    <w:rsid w:val="00F5370C"/>
    <w:rsid w:val="00FA3417"/>
    <w:rsid w:val="00FB1CEA"/>
    <w:rsid w:val="00FC1D6C"/>
    <w:rsid w:val="00FE42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590"/>
  <w15:chartTrackingRefBased/>
  <w15:docId w15:val="{A460695A-ED73-41FF-A97D-1DB75E3C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45624"/>
    <w:pPr>
      <w:spacing w:after="0" w:line="240" w:lineRule="auto"/>
      <w:jc w:val="both"/>
    </w:pPr>
    <w:rPr>
      <w:color w:val="000000" w:themeColor="text1"/>
    </w:rPr>
  </w:style>
  <w:style w:type="paragraph" w:styleId="Heading1">
    <w:name w:val="heading 1"/>
    <w:basedOn w:val="ListParagraph"/>
    <w:next w:val="Normal"/>
    <w:link w:val="Heading1Char"/>
    <w:uiPriority w:val="9"/>
    <w:qFormat/>
    <w:rsid w:val="00796379"/>
    <w:pPr>
      <w:numPr>
        <w:numId w:val="1"/>
      </w:numPr>
      <w:pBdr>
        <w:bottom w:val="dotted" w:sz="4" w:space="1" w:color="0452A5"/>
      </w:pBdr>
      <w:spacing w:before="360" w:after="120"/>
      <w:ind w:left="425" w:hanging="425"/>
      <w:outlineLvl w:val="0"/>
    </w:pPr>
    <w:rPr>
      <w:rFonts w:ascii="Calibri" w:hAnsi="Calibri" w:cs="Calibri"/>
      <w:b/>
      <w:color w:val="0452A5"/>
      <w:sz w:val="28"/>
    </w:rPr>
  </w:style>
  <w:style w:type="paragraph" w:styleId="Heading2">
    <w:name w:val="heading 2"/>
    <w:basedOn w:val="ListParagraph"/>
    <w:next w:val="Normal"/>
    <w:link w:val="Heading2Char"/>
    <w:uiPriority w:val="9"/>
    <w:unhideWhenUsed/>
    <w:qFormat/>
    <w:rsid w:val="004D1CE9"/>
    <w:pPr>
      <w:numPr>
        <w:ilvl w:val="1"/>
        <w:numId w:val="1"/>
      </w:numPr>
      <w:spacing w:before="240" w:after="60"/>
      <w:ind w:left="567" w:hanging="578"/>
      <w:outlineLvl w:val="1"/>
    </w:pPr>
    <w:rPr>
      <w:b/>
      <w:color w:val="0452A5"/>
      <w:sz w:val="24"/>
      <w:szCs w:val="26"/>
    </w:rPr>
  </w:style>
  <w:style w:type="paragraph" w:styleId="Heading3">
    <w:name w:val="heading 3"/>
    <w:basedOn w:val="ListParagraph"/>
    <w:next w:val="Normal"/>
    <w:link w:val="Heading3Char"/>
    <w:uiPriority w:val="9"/>
    <w:unhideWhenUsed/>
    <w:qFormat/>
    <w:rsid w:val="004D1CE9"/>
    <w:pPr>
      <w:numPr>
        <w:ilvl w:val="2"/>
        <w:numId w:val="1"/>
      </w:numPr>
      <w:spacing w:before="240" w:after="60"/>
      <w:ind w:left="709" w:hanging="709"/>
      <w:outlineLvl w:val="2"/>
    </w:pPr>
    <w:rPr>
      <w:color w:val="0452A5"/>
      <w:sz w:val="24"/>
    </w:rPr>
  </w:style>
  <w:style w:type="paragraph" w:styleId="Heading4">
    <w:name w:val="heading 4"/>
    <w:basedOn w:val="Heading3"/>
    <w:next w:val="Normal"/>
    <w:link w:val="Heading4Char"/>
    <w:uiPriority w:val="9"/>
    <w:unhideWhenUsed/>
    <w:qFormat/>
    <w:rsid w:val="004D1CE9"/>
    <w:pPr>
      <w:numPr>
        <w:ilvl w:val="3"/>
      </w:numPr>
      <w:ind w:left="851" w:hanging="851"/>
      <w:outlineLvl w:val="3"/>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1AAE"/>
    <w:pPr>
      <w:tabs>
        <w:tab w:val="center" w:pos="4536"/>
        <w:tab w:val="right" w:pos="9072"/>
      </w:tabs>
    </w:pPr>
  </w:style>
  <w:style w:type="character" w:customStyle="1" w:styleId="HeaderChar">
    <w:name w:val="Header Char"/>
    <w:basedOn w:val="DefaultParagraphFont"/>
    <w:link w:val="Header"/>
    <w:uiPriority w:val="99"/>
    <w:rsid w:val="00061AAE"/>
  </w:style>
  <w:style w:type="paragraph" w:styleId="Footer">
    <w:name w:val="footer"/>
    <w:basedOn w:val="Normal"/>
    <w:link w:val="FooterChar"/>
    <w:uiPriority w:val="99"/>
    <w:unhideWhenUsed/>
    <w:rsid w:val="009511CD"/>
    <w:pPr>
      <w:tabs>
        <w:tab w:val="center" w:pos="4536"/>
        <w:tab w:val="right" w:pos="9072"/>
      </w:tabs>
      <w:jc w:val="center"/>
    </w:pPr>
  </w:style>
  <w:style w:type="character" w:customStyle="1" w:styleId="FooterChar">
    <w:name w:val="Footer Char"/>
    <w:basedOn w:val="DefaultParagraphFont"/>
    <w:link w:val="Footer"/>
    <w:uiPriority w:val="99"/>
    <w:rsid w:val="009511CD"/>
    <w:rPr>
      <w:color w:val="000000" w:themeColor="text1"/>
    </w:rPr>
  </w:style>
  <w:style w:type="character" w:customStyle="1" w:styleId="Heading1Char">
    <w:name w:val="Heading 1 Char"/>
    <w:basedOn w:val="DefaultParagraphFont"/>
    <w:link w:val="Heading1"/>
    <w:uiPriority w:val="9"/>
    <w:rsid w:val="00796379"/>
    <w:rPr>
      <w:rFonts w:ascii="Calibri" w:hAnsi="Calibri" w:cs="Calibri"/>
      <w:b/>
      <w:color w:val="0452A5"/>
      <w:sz w:val="28"/>
    </w:rPr>
  </w:style>
  <w:style w:type="table" w:styleId="TableGrid">
    <w:name w:val="Table Grid"/>
    <w:basedOn w:val="TableNormal"/>
    <w:uiPriority w:val="39"/>
    <w:rsid w:val="000C7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Logo entête"/>
    <w:basedOn w:val="Header"/>
    <w:next w:val="Normal"/>
    <w:link w:val="TitleChar"/>
    <w:uiPriority w:val="10"/>
    <w:rsid w:val="00C5224D"/>
    <w:pPr>
      <w:jc w:val="center"/>
    </w:pPr>
    <w:rPr>
      <w:noProof/>
      <w:lang w:eastAsia="fr-FR"/>
    </w:rPr>
  </w:style>
  <w:style w:type="character" w:customStyle="1" w:styleId="TitleChar">
    <w:name w:val="Title Char"/>
    <w:aliases w:val="Logo entête Char"/>
    <w:basedOn w:val="DefaultParagraphFont"/>
    <w:link w:val="Title"/>
    <w:uiPriority w:val="10"/>
    <w:rsid w:val="00C5224D"/>
    <w:rPr>
      <w:noProof/>
      <w:lang w:eastAsia="fr-FR"/>
    </w:rPr>
  </w:style>
  <w:style w:type="paragraph" w:styleId="ListParagraph">
    <w:name w:val="List Paragraph"/>
    <w:basedOn w:val="Normal"/>
    <w:link w:val="ListParagraphChar"/>
    <w:uiPriority w:val="34"/>
    <w:qFormat/>
    <w:rsid w:val="004D1CE9"/>
  </w:style>
  <w:style w:type="character" w:customStyle="1" w:styleId="Heading2Char">
    <w:name w:val="Heading 2 Char"/>
    <w:basedOn w:val="DefaultParagraphFont"/>
    <w:link w:val="Heading2"/>
    <w:uiPriority w:val="9"/>
    <w:rsid w:val="004D1CE9"/>
    <w:rPr>
      <w:b/>
      <w:color w:val="0452A5"/>
      <w:sz w:val="24"/>
      <w:szCs w:val="26"/>
    </w:rPr>
  </w:style>
  <w:style w:type="paragraph" w:customStyle="1" w:styleId="TITRENOTE">
    <w:name w:val="TITRE NOTE"/>
    <w:basedOn w:val="Heading1"/>
    <w:link w:val="TITRENOTECar"/>
    <w:qFormat/>
    <w:rsid w:val="00796379"/>
    <w:pPr>
      <w:numPr>
        <w:numId w:val="0"/>
      </w:numPr>
      <w:pBdr>
        <w:bottom w:val="none" w:sz="0" w:space="0" w:color="auto"/>
      </w:pBdr>
      <w:spacing w:before="600" w:after="0"/>
    </w:pPr>
    <w:rPr>
      <w:sz w:val="30"/>
      <w:szCs w:val="30"/>
    </w:rPr>
  </w:style>
  <w:style w:type="character" w:customStyle="1" w:styleId="Heading3Char">
    <w:name w:val="Heading 3 Char"/>
    <w:basedOn w:val="DefaultParagraphFont"/>
    <w:link w:val="Heading3"/>
    <w:uiPriority w:val="9"/>
    <w:rsid w:val="004D1CE9"/>
    <w:rPr>
      <w:color w:val="0452A5"/>
      <w:sz w:val="24"/>
    </w:rPr>
  </w:style>
  <w:style w:type="character" w:customStyle="1" w:styleId="TITRENOTECar">
    <w:name w:val="TITRE NOTE Car"/>
    <w:basedOn w:val="Heading1Char"/>
    <w:link w:val="TITRENOTE"/>
    <w:rsid w:val="00796379"/>
    <w:rPr>
      <w:rFonts w:ascii="Calibri" w:hAnsi="Calibri" w:cs="Calibri"/>
      <w:b/>
      <w:color w:val="0452A5"/>
      <w:sz w:val="30"/>
      <w:szCs w:val="30"/>
    </w:rPr>
  </w:style>
  <w:style w:type="character" w:styleId="IntenseEmphasis">
    <w:name w:val="Intense Emphasis"/>
    <w:uiPriority w:val="21"/>
    <w:qFormat/>
    <w:rsid w:val="00945624"/>
    <w:rPr>
      <w:rFonts w:ascii="Calibri" w:hAnsi="Calibri" w:cs="Calibri"/>
      <w:b/>
      <w:color w:val="0452A5"/>
    </w:rPr>
  </w:style>
  <w:style w:type="character" w:customStyle="1" w:styleId="Heading4Char">
    <w:name w:val="Heading 4 Char"/>
    <w:basedOn w:val="DefaultParagraphFont"/>
    <w:link w:val="Heading4"/>
    <w:uiPriority w:val="9"/>
    <w:rsid w:val="004D1CE9"/>
    <w:rPr>
      <w:color w:val="0452A5"/>
    </w:rPr>
  </w:style>
  <w:style w:type="paragraph" w:customStyle="1" w:styleId="Intro">
    <w:name w:val="Intro"/>
    <w:basedOn w:val="Normal"/>
    <w:link w:val="IntroCar"/>
    <w:rsid w:val="00FE4298"/>
    <w:pPr>
      <w:pBdr>
        <w:top w:val="dotDash" w:sz="2" w:space="10" w:color="0452A5"/>
        <w:left w:val="dotDash" w:sz="2" w:space="4" w:color="0452A5"/>
        <w:bottom w:val="dotDash" w:sz="2" w:space="10" w:color="0452A5"/>
        <w:right w:val="dotDash" w:sz="2" w:space="4" w:color="0452A5"/>
      </w:pBdr>
    </w:pPr>
  </w:style>
  <w:style w:type="character" w:customStyle="1" w:styleId="IntroCar">
    <w:name w:val="Intro Car"/>
    <w:basedOn w:val="DefaultParagraphFont"/>
    <w:link w:val="Intro"/>
    <w:rsid w:val="00FE4298"/>
  </w:style>
  <w:style w:type="paragraph" w:styleId="Quote">
    <w:name w:val="Quote"/>
    <w:basedOn w:val="Normal"/>
    <w:next w:val="Normal"/>
    <w:link w:val="QuoteChar"/>
    <w:uiPriority w:val="29"/>
    <w:rsid w:val="009511C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511CD"/>
    <w:rPr>
      <w:i/>
      <w:iCs/>
      <w:color w:val="404040" w:themeColor="text1" w:themeTint="BF"/>
    </w:rPr>
  </w:style>
  <w:style w:type="paragraph" w:styleId="Subtitle">
    <w:name w:val="Subtitle"/>
    <w:aliases w:val="Cartouche"/>
    <w:basedOn w:val="Normal"/>
    <w:next w:val="Normal"/>
    <w:link w:val="SubtitleChar"/>
    <w:uiPriority w:val="11"/>
    <w:qFormat/>
    <w:rsid w:val="001F6B2E"/>
    <w:pPr>
      <w:pBdr>
        <w:bottom w:val="single" w:sz="8" w:space="1" w:color="0452A5"/>
      </w:pBdr>
    </w:pPr>
    <w:rPr>
      <w:b/>
      <w:color w:val="0452A5"/>
    </w:rPr>
  </w:style>
  <w:style w:type="character" w:customStyle="1" w:styleId="SubtitleChar">
    <w:name w:val="Subtitle Char"/>
    <w:aliases w:val="Cartouche Char"/>
    <w:basedOn w:val="DefaultParagraphFont"/>
    <w:link w:val="Subtitle"/>
    <w:uiPriority w:val="11"/>
    <w:rsid w:val="001F6B2E"/>
    <w:rPr>
      <w:b/>
      <w:color w:val="0452A5"/>
    </w:rPr>
  </w:style>
  <w:style w:type="paragraph" w:customStyle="1" w:styleId="TitreGraphique">
    <w:name w:val="Titre Graphique"/>
    <w:basedOn w:val="Normal"/>
    <w:uiPriority w:val="4"/>
    <w:qFormat/>
    <w:rsid w:val="00AB5FEC"/>
    <w:pPr>
      <w:jc w:val="center"/>
    </w:pPr>
    <w:rPr>
      <w:rFonts w:ascii="Calibri" w:hAnsi="Calibri" w:cs="Calibri"/>
      <w:b/>
      <w:color w:val="638CCA"/>
      <w:sz w:val="18"/>
      <w:szCs w:val="18"/>
    </w:rPr>
  </w:style>
  <w:style w:type="paragraph" w:customStyle="1" w:styleId="SourceGraphique">
    <w:name w:val="Source Graphique"/>
    <w:basedOn w:val="TitreGraphique"/>
    <w:uiPriority w:val="4"/>
    <w:qFormat/>
    <w:rsid w:val="00AB5FEC"/>
    <w:pPr>
      <w:jc w:val="left"/>
    </w:pPr>
    <w:rPr>
      <w:b w:val="0"/>
      <w:i/>
      <w:sz w:val="16"/>
    </w:rPr>
  </w:style>
  <w:style w:type="paragraph" w:customStyle="1" w:styleId="Rsum">
    <w:name w:val="Résumé"/>
    <w:basedOn w:val="Normal"/>
    <w:link w:val="RsumCar"/>
    <w:qFormat/>
    <w:rsid w:val="00263EAE"/>
    <w:pPr>
      <w:pBdr>
        <w:top w:val="single" w:sz="4" w:space="1" w:color="0452A5"/>
        <w:left w:val="single" w:sz="4" w:space="4" w:color="0452A5"/>
        <w:bottom w:val="single" w:sz="4" w:space="1" w:color="0452A5"/>
        <w:right w:val="single" w:sz="4" w:space="4" w:color="0452A5"/>
      </w:pBdr>
    </w:pPr>
    <w:rPr>
      <w:color w:val="auto"/>
    </w:rPr>
  </w:style>
  <w:style w:type="character" w:customStyle="1" w:styleId="RsumCar">
    <w:name w:val="Résumé Car"/>
    <w:basedOn w:val="DefaultParagraphFont"/>
    <w:link w:val="Rsum"/>
    <w:locked/>
    <w:rsid w:val="00263EAE"/>
  </w:style>
  <w:style w:type="character" w:styleId="PlaceholderText">
    <w:name w:val="Placeholder Text"/>
    <w:basedOn w:val="DefaultParagraphFont"/>
    <w:uiPriority w:val="99"/>
    <w:semiHidden/>
    <w:rsid w:val="001C123E"/>
    <w:rPr>
      <w:color w:val="808080"/>
    </w:rPr>
  </w:style>
  <w:style w:type="paragraph" w:customStyle="1" w:styleId="Puce">
    <w:name w:val="Puce"/>
    <w:basedOn w:val="ListParagraph"/>
    <w:link w:val="PuceCar"/>
    <w:qFormat/>
    <w:rsid w:val="00263EAE"/>
    <w:pPr>
      <w:numPr>
        <w:numId w:val="3"/>
      </w:numPr>
      <w:spacing w:before="60" w:after="60"/>
      <w:ind w:left="567" w:hanging="283"/>
      <w:contextualSpacing/>
    </w:pPr>
  </w:style>
  <w:style w:type="character" w:customStyle="1" w:styleId="ListParagraphChar">
    <w:name w:val="List Paragraph Char"/>
    <w:basedOn w:val="DefaultParagraphFont"/>
    <w:link w:val="ListParagraph"/>
    <w:uiPriority w:val="34"/>
    <w:rsid w:val="004D1CE9"/>
    <w:rPr>
      <w:color w:val="000000" w:themeColor="text1"/>
    </w:rPr>
  </w:style>
  <w:style w:type="character" w:customStyle="1" w:styleId="PuceCar">
    <w:name w:val="Puce Car"/>
    <w:basedOn w:val="ListParagraphChar"/>
    <w:link w:val="Puce"/>
    <w:rsid w:val="00263EAE"/>
    <w:rPr>
      <w:color w:val="000000" w:themeColor="text1"/>
    </w:rPr>
  </w:style>
  <w:style w:type="character" w:customStyle="1" w:styleId="FootnoteTextChar1">
    <w:name w:val="Footnote Text Char1"/>
    <w:aliases w:val="Footnote Text Char Char,Char Char,fn Char,Note de bas de page Car Car Car Car Char,Note de bas de page Car Car Car Car Car Car Car Car Car Car Car Car Char,single space Char,Footnote text Char,Schriftart: 9 pt Char"/>
    <w:basedOn w:val="DefaultParagraphFont"/>
    <w:link w:val="FootnoteText"/>
    <w:uiPriority w:val="99"/>
    <w:semiHidden/>
    <w:locked/>
    <w:rsid w:val="00E80D21"/>
    <w:rPr>
      <w:rFonts w:ascii="Times New Roman" w:eastAsia="Times New Roman" w:hAnsi="Times New Roman" w:cs="Times New Roman"/>
      <w:sz w:val="20"/>
      <w:szCs w:val="20"/>
      <w:lang w:eastAsia="fr-FR"/>
    </w:rPr>
  </w:style>
  <w:style w:type="paragraph" w:styleId="FootnoteText">
    <w:name w:val="footnote text"/>
    <w:aliases w:val="Footnote Text Char,Char,fn,Note de bas de page Car Car Car Car,Note de bas de page Car Car Car Car Car Car Car Car Car Car Car Car,single space,Footnote text,Schriftart: 9 pt,Schriftart: 10 pt,Schriftart: 8 pt,Note de bas de page3 C"/>
    <w:basedOn w:val="Normal"/>
    <w:link w:val="FootnoteTextChar1"/>
    <w:uiPriority w:val="99"/>
    <w:semiHidden/>
    <w:unhideWhenUsed/>
    <w:qFormat/>
    <w:rsid w:val="00E80D21"/>
    <w:rPr>
      <w:rFonts w:ascii="Times New Roman" w:eastAsia="Times New Roman" w:hAnsi="Times New Roman" w:cs="Times New Roman"/>
      <w:color w:val="auto"/>
      <w:sz w:val="20"/>
      <w:szCs w:val="20"/>
      <w:lang w:eastAsia="fr-FR"/>
    </w:rPr>
  </w:style>
  <w:style w:type="character" w:customStyle="1" w:styleId="NotedebasdepageCar1">
    <w:name w:val="Note de bas de page Car1"/>
    <w:basedOn w:val="DefaultParagraphFont"/>
    <w:uiPriority w:val="99"/>
    <w:semiHidden/>
    <w:rsid w:val="00E80D21"/>
    <w:rPr>
      <w:color w:val="000000" w:themeColor="text1"/>
      <w:sz w:val="20"/>
      <w:szCs w:val="20"/>
    </w:rPr>
  </w:style>
  <w:style w:type="character" w:styleId="FootnoteReference">
    <w:name w:val="footnote reference"/>
    <w:aliases w:val="fr,Footnote Reference Superscript,BVI fnr,Footnote symbol,16 Point,Superscript 6 Point,Footnote Reference Number,Footnote Reference_LVL6,Footnote Reference_LVL61,Footnote Reference_LVL62,Footnote Reference_LVL63,SUPERS,Footnote"/>
    <w:basedOn w:val="DefaultParagraphFont"/>
    <w:uiPriority w:val="99"/>
    <w:semiHidden/>
    <w:unhideWhenUsed/>
    <w:qFormat/>
    <w:rsid w:val="00E80D21"/>
    <w:rPr>
      <w:vertAlign w:val="superscript"/>
    </w:rPr>
  </w:style>
  <w:style w:type="character" w:styleId="Hyperlink">
    <w:name w:val="Hyperlink"/>
    <w:basedOn w:val="DefaultParagraphFont"/>
    <w:uiPriority w:val="99"/>
    <w:unhideWhenUsed/>
    <w:rsid w:val="00360F41"/>
    <w:rPr>
      <w:color w:val="182B47" w:themeColor="hyperlink"/>
      <w:u w:val="single"/>
    </w:rPr>
  </w:style>
  <w:style w:type="character" w:styleId="UnresolvedMention">
    <w:name w:val="Unresolved Mention"/>
    <w:basedOn w:val="DefaultParagraphFont"/>
    <w:uiPriority w:val="99"/>
    <w:semiHidden/>
    <w:unhideWhenUsed/>
    <w:rsid w:val="00360F41"/>
    <w:rPr>
      <w:color w:val="605E5C"/>
      <w:shd w:val="clear" w:color="auto" w:fill="E1DFDD"/>
    </w:rPr>
  </w:style>
  <w:style w:type="character" w:styleId="FollowedHyperlink">
    <w:name w:val="FollowedHyperlink"/>
    <w:basedOn w:val="DefaultParagraphFont"/>
    <w:uiPriority w:val="99"/>
    <w:semiHidden/>
    <w:unhideWhenUsed/>
    <w:rsid w:val="003428A2"/>
    <w:rPr>
      <w:color w:val="31B13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7745">
      <w:bodyDiv w:val="1"/>
      <w:marLeft w:val="0"/>
      <w:marRight w:val="0"/>
      <w:marTop w:val="0"/>
      <w:marBottom w:val="0"/>
      <w:divBdr>
        <w:top w:val="none" w:sz="0" w:space="0" w:color="auto"/>
        <w:left w:val="none" w:sz="0" w:space="0" w:color="auto"/>
        <w:bottom w:val="none" w:sz="0" w:space="0" w:color="auto"/>
        <w:right w:val="none" w:sz="0" w:space="0" w:color="auto"/>
      </w:divBdr>
    </w:div>
    <w:div w:id="473527281">
      <w:bodyDiv w:val="1"/>
      <w:marLeft w:val="0"/>
      <w:marRight w:val="0"/>
      <w:marTop w:val="0"/>
      <w:marBottom w:val="0"/>
      <w:divBdr>
        <w:top w:val="none" w:sz="0" w:space="0" w:color="auto"/>
        <w:left w:val="none" w:sz="0" w:space="0" w:color="auto"/>
        <w:bottom w:val="none" w:sz="0" w:space="0" w:color="auto"/>
        <w:right w:val="none" w:sz="0" w:space="0" w:color="auto"/>
      </w:divBdr>
    </w:div>
    <w:div w:id="551044449">
      <w:bodyDiv w:val="1"/>
      <w:marLeft w:val="0"/>
      <w:marRight w:val="0"/>
      <w:marTop w:val="0"/>
      <w:marBottom w:val="0"/>
      <w:divBdr>
        <w:top w:val="none" w:sz="0" w:space="0" w:color="auto"/>
        <w:left w:val="none" w:sz="0" w:space="0" w:color="auto"/>
        <w:bottom w:val="none" w:sz="0" w:space="0" w:color="auto"/>
        <w:right w:val="none" w:sz="0" w:space="0" w:color="auto"/>
      </w:divBdr>
    </w:div>
    <w:div w:id="686904564">
      <w:bodyDiv w:val="1"/>
      <w:marLeft w:val="0"/>
      <w:marRight w:val="0"/>
      <w:marTop w:val="0"/>
      <w:marBottom w:val="0"/>
      <w:divBdr>
        <w:top w:val="none" w:sz="0" w:space="0" w:color="auto"/>
        <w:left w:val="none" w:sz="0" w:space="0" w:color="auto"/>
        <w:bottom w:val="none" w:sz="0" w:space="0" w:color="auto"/>
        <w:right w:val="none" w:sz="0" w:space="0" w:color="auto"/>
      </w:divBdr>
    </w:div>
    <w:div w:id="1246498010">
      <w:bodyDiv w:val="1"/>
      <w:marLeft w:val="0"/>
      <w:marRight w:val="0"/>
      <w:marTop w:val="0"/>
      <w:marBottom w:val="0"/>
      <w:divBdr>
        <w:top w:val="none" w:sz="0" w:space="0" w:color="auto"/>
        <w:left w:val="none" w:sz="0" w:space="0" w:color="auto"/>
        <w:bottom w:val="none" w:sz="0" w:space="0" w:color="auto"/>
        <w:right w:val="none" w:sz="0" w:space="0" w:color="auto"/>
      </w:divBdr>
    </w:div>
    <w:div w:id="156116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b.europa.eu/pub/pdf/other/AnaCredit_Manual_Part_I_General_Methodology_201905~e4b471a87e.en.pdf" TargetMode="External"/><Relationship Id="rId13" Type="http://schemas.openxmlformats.org/officeDocument/2006/relationships/hyperlink" Target="https://www.federalreserve.gov/econres/notes/feds-notes/shifting-dynamics-in-bank-funding-of-nbis-the-rise-of-credit-lines-20250714.htm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esrb.europa.eu/pub/nbfi/html/esrb.nbfi202509.en.htm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ber.org/papers/w33590" TargetMode="External"/><Relationship Id="rId5" Type="http://schemas.openxmlformats.org/officeDocument/2006/relationships/webSettings" Target="webSettings.xml"/><Relationship Id="rId15" Type="http://schemas.openxmlformats.org/officeDocument/2006/relationships/hyperlink" Target="https://academic.oup.com/rfs/article/34/5/2181/5901059" TargetMode="External"/><Relationship Id="rId23" Type="http://schemas.openxmlformats.org/officeDocument/2006/relationships/theme" Target="theme/theme1.xml"/><Relationship Id="rId10" Type="http://schemas.openxmlformats.org/officeDocument/2006/relationships/hyperlink" Target="https://www.ecb.europa.eu/pub/pdf/other/AnaCredit_Manual_Part_III_Case_studies_201905~f8def6e92e.en.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ecb.europa.eu/pub/pdf/other/AnaCredit_Manual_Part_II_Datasets_and_data_attributes.en.pdf" TargetMode="External"/><Relationship Id="rId14" Type="http://schemas.openxmlformats.org/officeDocument/2006/relationships/hyperlink" Target="https://www.bis.org/bcbs/publ/d598.pdf"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830996\AppData\Roaming\Microsoft\Templates\Banque%20de%20France\SIEGE\PSF\Mod&#232;le_note_courte_PSF_V2.dotm" TargetMode="External"/></Relationships>
</file>

<file path=word/theme/theme1.xml><?xml version="1.0" encoding="utf-8"?>
<a:theme xmlns:a="http://schemas.openxmlformats.org/drawingml/2006/main" name="Thème Office">
  <a:themeElements>
    <a:clrScheme name="Format ERS">
      <a:dk1>
        <a:srgbClr val="000000"/>
      </a:dk1>
      <a:lt1>
        <a:srgbClr val="FFFFFF"/>
      </a:lt1>
      <a:dk2>
        <a:srgbClr val="646567"/>
      </a:dk2>
      <a:lt2>
        <a:srgbClr val="8C734A"/>
      </a:lt2>
      <a:accent1>
        <a:srgbClr val="182B47"/>
      </a:accent1>
      <a:accent2>
        <a:srgbClr val="BF0A33"/>
      </a:accent2>
      <a:accent3>
        <a:srgbClr val="FF7800"/>
      </a:accent3>
      <a:accent4>
        <a:srgbClr val="FFCB00"/>
      </a:accent4>
      <a:accent5>
        <a:srgbClr val="31B133"/>
      </a:accent5>
      <a:accent6>
        <a:srgbClr val="6D3A77"/>
      </a:accent6>
      <a:hlink>
        <a:srgbClr val="182B47"/>
      </a:hlink>
      <a:folHlink>
        <a:srgbClr val="31B13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8C267-206B-493F-8530-F52DA2464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C:\Users\G830996\AppData\Roaming\Microsoft\Templates\Banque de France\SIEGE\PSF\Modèle_note_courte_PSF_V2.dotm</Template>
  <TotalTime>0</TotalTime>
  <Pages>3</Pages>
  <Words>745</Words>
  <Characters>4248</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Banque de France</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COLLET Lucille (SGACPR DEAR)</dc:creator>
  <cp:keywords/>
  <dc:description/>
  <cp:lastModifiedBy>Ralph Nader</cp:lastModifiedBy>
  <cp:revision>2</cp:revision>
  <dcterms:created xsi:type="dcterms:W3CDTF">2025-12-03T12:34:00Z</dcterms:created>
  <dcterms:modified xsi:type="dcterms:W3CDTF">2025-12-03T12:34:00Z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1c151d33,1bcd6b19,25938bc2</vt:lpwstr>
  </property>
  <property fmtid="{D5CDD505-2E9C-101B-9397-08002B2CF9AE}" pid="3" name="ClassificationContentMarkingHeaderFontProps">
    <vt:lpwstr>#000000,10,Calibri</vt:lpwstr>
  </property>
  <property fmtid="{D5CDD505-2E9C-101B-9397-08002B2CF9AE}" pid="4" name="ClassificationContentMarkingHeaderText">
    <vt:lpwstr>ACPR-INTERNE</vt:lpwstr>
  </property>
  <property fmtid="{D5CDD505-2E9C-101B-9397-08002B2CF9AE}" pid="5" name="MSIP_Label_92ca6c65-af8f-4f76-b012-8192e87959fa_Enabled">
    <vt:lpwstr>true</vt:lpwstr>
  </property>
  <property fmtid="{D5CDD505-2E9C-101B-9397-08002B2CF9AE}" pid="6" name="MSIP_Label_92ca6c65-af8f-4f76-b012-8192e87959fa_SetDate">
    <vt:lpwstr>2025-10-15T15:36:45Z</vt:lpwstr>
  </property>
  <property fmtid="{D5CDD505-2E9C-101B-9397-08002B2CF9AE}" pid="7" name="MSIP_Label_92ca6c65-af8f-4f76-b012-8192e87959fa_Method">
    <vt:lpwstr>Privileged</vt:lpwstr>
  </property>
  <property fmtid="{D5CDD505-2E9C-101B-9397-08002B2CF9AE}" pid="8" name="MSIP_Label_92ca6c65-af8f-4f76-b012-8192e87959fa_Name">
    <vt:lpwstr>ACPR-Interne</vt:lpwstr>
  </property>
  <property fmtid="{D5CDD505-2E9C-101B-9397-08002B2CF9AE}" pid="9" name="MSIP_Label_92ca6c65-af8f-4f76-b012-8192e87959fa_SiteId">
    <vt:lpwstr>e6599448-62a0-418e-8930-d00d8d5682c2</vt:lpwstr>
  </property>
  <property fmtid="{D5CDD505-2E9C-101B-9397-08002B2CF9AE}" pid="10" name="MSIP_Label_92ca6c65-af8f-4f76-b012-8192e87959fa_ActionId">
    <vt:lpwstr>3ed11ee4-7b72-458e-92c8-6450c23e2f15</vt:lpwstr>
  </property>
  <property fmtid="{D5CDD505-2E9C-101B-9397-08002B2CF9AE}" pid="11" name="MSIP_Label_92ca6c65-af8f-4f76-b012-8192e87959fa_ContentBits">
    <vt:lpwstr>1</vt:lpwstr>
  </property>
  <property fmtid="{D5CDD505-2E9C-101B-9397-08002B2CF9AE}" pid="12" name="MSIP_Label_92ca6c65-af8f-4f76-b012-8192e87959fa_Tag">
    <vt:lpwstr>10, 0, 1, 1</vt:lpwstr>
  </property>
</Properties>
</file>