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B3D" w:rsidRPr="00930B3D" w:rsidRDefault="00930B3D" w:rsidP="00930B3D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930B3D">
        <w:rPr>
          <w:rFonts w:ascii="Arial" w:hAnsi="Arial" w:cs="Arial"/>
          <w:b/>
          <w:sz w:val="20"/>
          <w:szCs w:val="20"/>
        </w:rPr>
        <w:t>AS CARACTERÍSTICAS RELACIONAIS DO TRABALHO E O BEM-ESTAR DOS PROFESSORES DA EDUCAÇÃO BÁSICA</w:t>
      </w:r>
    </w:p>
    <w:p w:rsidR="004707D3" w:rsidRPr="00930B3D" w:rsidRDefault="00930B3D" w:rsidP="00930B3D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30B3D">
        <w:rPr>
          <w:rFonts w:ascii="Arial" w:hAnsi="Arial" w:cs="Arial"/>
          <w:b/>
          <w:sz w:val="20"/>
          <w:szCs w:val="20"/>
        </w:rPr>
        <w:t>LISTA DAS VARIÁVEIS</w:t>
      </w:r>
    </w:p>
    <w:tbl>
      <w:tblPr>
        <w:tblStyle w:val="Tabelacomgrade"/>
        <w:tblW w:w="14220" w:type="dxa"/>
        <w:tblLayout w:type="fixed"/>
        <w:tblLook w:val="04A0" w:firstRow="1" w:lastRow="0" w:firstColumn="1" w:lastColumn="0" w:noHBand="0" w:noVBand="1"/>
      </w:tblPr>
      <w:tblGrid>
        <w:gridCol w:w="2059"/>
        <w:gridCol w:w="771"/>
        <w:gridCol w:w="2127"/>
        <w:gridCol w:w="1559"/>
        <w:gridCol w:w="3827"/>
        <w:gridCol w:w="3877"/>
      </w:tblGrid>
      <w:tr w:rsidR="004071A2" w:rsidRPr="004071A2" w:rsidTr="00474099">
        <w:trPr>
          <w:trHeight w:val="70"/>
        </w:trPr>
        <w:tc>
          <w:tcPr>
            <w:tcW w:w="4957" w:type="dxa"/>
            <w:gridSpan w:val="3"/>
            <w:vAlign w:val="center"/>
          </w:tcPr>
          <w:p w:rsidR="004071A2" w:rsidRPr="004071A2" w:rsidRDefault="004071A2" w:rsidP="004071A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071A2">
              <w:rPr>
                <w:rFonts w:ascii="Arial" w:hAnsi="Arial" w:cs="Arial"/>
                <w:b/>
                <w:sz w:val="20"/>
                <w:szCs w:val="20"/>
              </w:rPr>
              <w:t>Informações no questionário</w:t>
            </w:r>
          </w:p>
        </w:tc>
        <w:tc>
          <w:tcPr>
            <w:tcW w:w="1559" w:type="dxa"/>
            <w:vMerge w:val="restart"/>
            <w:vAlign w:val="center"/>
          </w:tcPr>
          <w:p w:rsidR="004071A2" w:rsidRPr="004071A2" w:rsidRDefault="004071A2" w:rsidP="004071A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071A2">
              <w:rPr>
                <w:rFonts w:ascii="Arial" w:hAnsi="Arial" w:cs="Arial"/>
                <w:b/>
                <w:sz w:val="20"/>
                <w:szCs w:val="20"/>
              </w:rPr>
              <w:t>Variável</w:t>
            </w:r>
          </w:p>
        </w:tc>
        <w:tc>
          <w:tcPr>
            <w:tcW w:w="3827" w:type="dxa"/>
            <w:vMerge w:val="restart"/>
            <w:vAlign w:val="center"/>
          </w:tcPr>
          <w:p w:rsidR="004071A2" w:rsidRPr="004071A2" w:rsidRDefault="004071A2" w:rsidP="004071A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071A2" w:rsidRPr="004071A2" w:rsidRDefault="004071A2" w:rsidP="004071A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Fonte </w:t>
            </w:r>
          </w:p>
        </w:tc>
        <w:tc>
          <w:tcPr>
            <w:tcW w:w="3877" w:type="dxa"/>
            <w:vMerge w:val="restart"/>
            <w:vAlign w:val="center"/>
          </w:tcPr>
          <w:p w:rsidR="004071A2" w:rsidRPr="004071A2" w:rsidRDefault="004071A2" w:rsidP="004071A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071A2">
              <w:rPr>
                <w:rFonts w:ascii="Arial" w:hAnsi="Arial" w:cs="Arial"/>
                <w:b/>
                <w:sz w:val="20"/>
                <w:szCs w:val="20"/>
              </w:rPr>
              <w:t>Nome da variável manifesta (item) na base de dados</w:t>
            </w:r>
          </w:p>
        </w:tc>
      </w:tr>
      <w:tr w:rsidR="004071A2" w:rsidRPr="004071A2" w:rsidTr="00474099">
        <w:trPr>
          <w:cantSplit/>
          <w:trHeight w:val="1134"/>
        </w:trPr>
        <w:tc>
          <w:tcPr>
            <w:tcW w:w="2059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071A2">
              <w:rPr>
                <w:rFonts w:ascii="Arial" w:hAnsi="Arial" w:cs="Arial"/>
                <w:b/>
                <w:sz w:val="20"/>
                <w:szCs w:val="20"/>
              </w:rPr>
              <w:t>Título corrente</w:t>
            </w:r>
          </w:p>
        </w:tc>
        <w:tc>
          <w:tcPr>
            <w:tcW w:w="771" w:type="dxa"/>
            <w:textDirection w:val="btLr"/>
            <w:vAlign w:val="center"/>
          </w:tcPr>
          <w:p w:rsidR="004071A2" w:rsidRPr="004071A2" w:rsidRDefault="00474099" w:rsidP="00474099">
            <w:pPr>
              <w:spacing w:after="0" w:line="240" w:lineRule="auto"/>
              <w:ind w:left="113" w:right="1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Página</w:t>
            </w:r>
          </w:p>
        </w:tc>
        <w:tc>
          <w:tcPr>
            <w:tcW w:w="2127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071A2">
              <w:rPr>
                <w:rFonts w:ascii="Arial" w:hAnsi="Arial" w:cs="Arial"/>
                <w:b/>
                <w:sz w:val="20"/>
                <w:szCs w:val="20"/>
              </w:rPr>
              <w:t>Número das questões no questionário impresso</w:t>
            </w:r>
          </w:p>
        </w:tc>
        <w:tc>
          <w:tcPr>
            <w:tcW w:w="1559" w:type="dxa"/>
            <w:vMerge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27" w:type="dxa"/>
            <w:vMerge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7" w:type="dxa"/>
            <w:vMerge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71A2" w:rsidRPr="004071A2" w:rsidTr="00474099">
        <w:tc>
          <w:tcPr>
            <w:tcW w:w="2059" w:type="dxa"/>
            <w:vMerge w:val="restart"/>
            <w:vAlign w:val="center"/>
          </w:tcPr>
          <w:p w:rsidR="004071A2" w:rsidRDefault="004071A2" w:rsidP="004071A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071A2">
              <w:rPr>
                <w:rFonts w:ascii="Arial" w:hAnsi="Arial" w:cs="Arial"/>
                <w:b/>
                <w:sz w:val="20"/>
                <w:szCs w:val="20"/>
              </w:rPr>
              <w:t>O seu trabalho</w:t>
            </w:r>
          </w:p>
          <w:p w:rsidR="00315DA6" w:rsidRDefault="00315DA6" w:rsidP="004071A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DA6" w:rsidRPr="004071A2" w:rsidRDefault="00602E9B" w:rsidP="004071A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315DA6">
              <w:rPr>
                <w:rFonts w:ascii="Arial" w:hAnsi="Arial" w:cs="Arial"/>
                <w:b/>
                <w:sz w:val="20"/>
                <w:szCs w:val="20"/>
              </w:rPr>
              <w:t>CRT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771" w:type="dxa"/>
            <w:vMerge w:val="restart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71A2">
              <w:rPr>
                <w:rFonts w:ascii="Arial" w:hAnsi="Arial" w:cs="Arial"/>
                <w:sz w:val="20"/>
                <w:szCs w:val="20"/>
              </w:rPr>
              <w:t>7-9</w:t>
            </w:r>
          </w:p>
        </w:tc>
        <w:tc>
          <w:tcPr>
            <w:tcW w:w="2127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71A2">
              <w:rPr>
                <w:rFonts w:ascii="Arial" w:hAnsi="Arial" w:cs="Arial"/>
                <w:sz w:val="20"/>
                <w:szCs w:val="20"/>
              </w:rPr>
              <w:t>1 a 12</w:t>
            </w:r>
          </w:p>
        </w:tc>
        <w:tc>
          <w:tcPr>
            <w:tcW w:w="1559" w:type="dxa"/>
            <w:vAlign w:val="center"/>
          </w:tcPr>
          <w:p w:rsidR="004071A2" w:rsidRDefault="004071A2" w:rsidP="004071A2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4071A2">
              <w:rPr>
                <w:rFonts w:ascii="Arial" w:hAnsi="Arial" w:cs="Arial"/>
                <w:iCs/>
                <w:sz w:val="20"/>
                <w:szCs w:val="20"/>
              </w:rPr>
              <w:t xml:space="preserve">Motivação </w:t>
            </w:r>
            <w:proofErr w:type="spellStart"/>
            <w:r w:rsidRPr="004071A2">
              <w:rPr>
                <w:rFonts w:ascii="Arial" w:hAnsi="Arial" w:cs="Arial"/>
                <w:iCs/>
                <w:sz w:val="20"/>
                <w:szCs w:val="20"/>
              </w:rPr>
              <w:t>prossocial</w:t>
            </w:r>
            <w:proofErr w:type="spellEnd"/>
          </w:p>
          <w:p w:rsidR="009013FE" w:rsidRPr="004071A2" w:rsidRDefault="009013FE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(</w:t>
            </w:r>
            <w:r w:rsidRPr="00904DC0">
              <w:rPr>
                <w:rFonts w:ascii="Arial" w:hAnsi="Arial" w:cs="Arial"/>
                <w:iCs/>
                <w:sz w:val="20"/>
                <w:szCs w:val="20"/>
                <w:shd w:val="clear" w:color="auto" w:fill="5B9BD5" w:themeFill="accent1"/>
              </w:rPr>
              <w:t>MPS</w:t>
            </w:r>
            <w:r>
              <w:rPr>
                <w:rFonts w:ascii="Arial" w:hAnsi="Arial" w:cs="Arial"/>
                <w:iCs/>
                <w:sz w:val="20"/>
                <w:szCs w:val="20"/>
              </w:rPr>
              <w:t>)</w:t>
            </w:r>
          </w:p>
        </w:tc>
        <w:tc>
          <w:tcPr>
            <w:tcW w:w="3827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4071A2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1-4: Grant, A. M. 2008. Does intrinsic motivation fuel the prosocial fire? Motivational synergy in predicting persistence, performance, and productivity. Journal of Applied Psychology, 93: 48-58. </w:t>
            </w:r>
          </w:p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</w:p>
          <w:p w:rsidR="004071A2" w:rsidRPr="00474099" w:rsidRDefault="004071A2" w:rsidP="004071A2">
            <w:pPr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0"/>
                <w:lang w:val="en-CA"/>
              </w:rPr>
            </w:pPr>
            <w:r w:rsidRPr="004071A2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5-9: Grant, A. M., &amp; </w:t>
            </w:r>
            <w:proofErr w:type="spellStart"/>
            <w:r w:rsidRPr="004071A2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Sumanth</w:t>
            </w:r>
            <w:proofErr w:type="spellEnd"/>
            <w:r w:rsidRPr="004071A2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, J. J. 2009. Mission possible? The performance of </w:t>
            </w:r>
            <w:proofErr w:type="spellStart"/>
            <w:r w:rsidRPr="004071A2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prosocially</w:t>
            </w:r>
            <w:proofErr w:type="spellEnd"/>
            <w:r w:rsidRPr="004071A2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motivated employees depends on manager trustworthiness. </w:t>
            </w:r>
            <w:r w:rsidRPr="00474099">
              <w:rPr>
                <w:rFonts w:ascii="Arial" w:hAnsi="Arial" w:cs="Arial"/>
                <w:i/>
                <w:iCs/>
                <w:sz w:val="20"/>
                <w:szCs w:val="20"/>
                <w:lang w:val="en-CA"/>
              </w:rPr>
              <w:t xml:space="preserve">Journal of Applied Psychology, 94: 927-944. </w:t>
            </w:r>
          </w:p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</w:p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071A2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10-12: Grant, A. M. 2008. Designing jobs to do good: Dimensions and psychological consequences of prosocial job characteristics. </w:t>
            </w:r>
            <w:r w:rsidRPr="004071A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Journal </w:t>
            </w:r>
            <w:proofErr w:type="spellStart"/>
            <w:r w:rsidRPr="004071A2">
              <w:rPr>
                <w:rFonts w:ascii="Arial" w:hAnsi="Arial" w:cs="Arial"/>
                <w:i/>
                <w:iCs/>
                <w:sz w:val="20"/>
                <w:szCs w:val="20"/>
              </w:rPr>
              <w:t>of</w:t>
            </w:r>
            <w:proofErr w:type="spellEnd"/>
            <w:r w:rsidRPr="004071A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Positive </w:t>
            </w:r>
            <w:proofErr w:type="spellStart"/>
            <w:r w:rsidRPr="004071A2">
              <w:rPr>
                <w:rFonts w:ascii="Arial" w:hAnsi="Arial" w:cs="Arial"/>
                <w:i/>
                <w:iCs/>
                <w:sz w:val="20"/>
                <w:szCs w:val="20"/>
              </w:rPr>
              <w:t>Psychology</w:t>
            </w:r>
            <w:proofErr w:type="spellEnd"/>
            <w:r w:rsidRPr="004071A2">
              <w:rPr>
                <w:rFonts w:ascii="Arial" w:hAnsi="Arial" w:cs="Arial"/>
                <w:i/>
                <w:iCs/>
                <w:sz w:val="20"/>
                <w:szCs w:val="20"/>
              </w:rPr>
              <w:t>, 3: 19-39.</w:t>
            </w:r>
          </w:p>
        </w:tc>
        <w:tc>
          <w:tcPr>
            <w:tcW w:w="3877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4071A2">
              <w:rPr>
                <w:rFonts w:ascii="Arial" w:hAnsi="Arial" w:cs="Arial"/>
                <w:i/>
                <w:iCs/>
                <w:sz w:val="20"/>
                <w:szCs w:val="20"/>
              </w:rPr>
              <w:t>trab1,trab2,trab3,trab4,trab5,trab6,trab7,trab8,trab9,trab10,trab11,trab12</w:t>
            </w:r>
          </w:p>
        </w:tc>
      </w:tr>
      <w:tr w:rsidR="004071A2" w:rsidRPr="004071A2" w:rsidTr="00474099">
        <w:tc>
          <w:tcPr>
            <w:tcW w:w="2059" w:type="dxa"/>
            <w:vMerge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1" w:type="dxa"/>
            <w:vMerge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71A2">
              <w:rPr>
                <w:rFonts w:ascii="Arial" w:hAnsi="Arial" w:cs="Arial"/>
                <w:sz w:val="20"/>
                <w:szCs w:val="20"/>
              </w:rPr>
              <w:t>13 a 15</w:t>
            </w:r>
          </w:p>
        </w:tc>
        <w:tc>
          <w:tcPr>
            <w:tcW w:w="1559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71A2">
              <w:rPr>
                <w:rFonts w:ascii="Arial" w:hAnsi="Arial" w:cs="Arial"/>
                <w:sz w:val="20"/>
                <w:szCs w:val="20"/>
              </w:rPr>
              <w:t xml:space="preserve">Identidade Pessoal </w:t>
            </w:r>
            <w:proofErr w:type="spellStart"/>
            <w:r w:rsidRPr="004071A2">
              <w:rPr>
                <w:rFonts w:ascii="Arial" w:hAnsi="Arial" w:cs="Arial"/>
                <w:sz w:val="20"/>
                <w:szCs w:val="20"/>
              </w:rPr>
              <w:t>Prosocial</w:t>
            </w:r>
            <w:proofErr w:type="spellEnd"/>
            <w:r w:rsidR="009013F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13FE" w:rsidRPr="00904DC0">
              <w:rPr>
                <w:rFonts w:ascii="Arial" w:hAnsi="Arial" w:cs="Arial"/>
                <w:sz w:val="20"/>
                <w:szCs w:val="20"/>
                <w:shd w:val="clear" w:color="auto" w:fill="5B9BD5" w:themeFill="accent1"/>
              </w:rPr>
              <w:t>(IPPS</w:t>
            </w:r>
            <w:r w:rsidR="009013F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827" w:type="dxa"/>
            <w:vMerge w:val="restart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071A2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Grant, A. M., Dutton, J. E., &amp; Rosso, B. 2008. Giving commitment: Employee support programs and the prosocial </w:t>
            </w:r>
            <w:proofErr w:type="spellStart"/>
            <w:r w:rsidRPr="004071A2">
              <w:rPr>
                <w:rFonts w:ascii="Arial" w:hAnsi="Arial" w:cs="Arial"/>
                <w:i/>
                <w:sz w:val="20"/>
                <w:szCs w:val="20"/>
                <w:lang w:val="en-US"/>
              </w:rPr>
              <w:t>sensemaking</w:t>
            </w:r>
            <w:proofErr w:type="spellEnd"/>
            <w:r w:rsidRPr="004071A2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process. </w:t>
            </w:r>
            <w:r w:rsidRPr="004071A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Academy </w:t>
            </w:r>
            <w:proofErr w:type="spellStart"/>
            <w:r w:rsidRPr="004071A2">
              <w:rPr>
                <w:rFonts w:ascii="Arial" w:hAnsi="Arial" w:cs="Arial"/>
                <w:i/>
                <w:iCs/>
                <w:sz w:val="20"/>
                <w:szCs w:val="20"/>
              </w:rPr>
              <w:t>of</w:t>
            </w:r>
            <w:proofErr w:type="spellEnd"/>
            <w:r w:rsidRPr="004071A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Management </w:t>
            </w:r>
            <w:proofErr w:type="spellStart"/>
            <w:r w:rsidRPr="004071A2">
              <w:rPr>
                <w:rFonts w:ascii="Arial" w:hAnsi="Arial" w:cs="Arial"/>
                <w:i/>
                <w:iCs/>
                <w:sz w:val="20"/>
                <w:szCs w:val="20"/>
              </w:rPr>
              <w:t>Journal</w:t>
            </w:r>
            <w:proofErr w:type="spellEnd"/>
            <w:r w:rsidRPr="004071A2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r w:rsidRPr="004071A2">
              <w:rPr>
                <w:rFonts w:ascii="Arial" w:hAnsi="Arial" w:cs="Arial"/>
                <w:i/>
                <w:iCs/>
                <w:sz w:val="20"/>
                <w:szCs w:val="20"/>
              </w:rPr>
              <w:t>51</w:t>
            </w:r>
            <w:r w:rsidRPr="004071A2">
              <w:rPr>
                <w:rFonts w:ascii="Arial" w:hAnsi="Arial" w:cs="Arial"/>
                <w:i/>
                <w:sz w:val="20"/>
                <w:szCs w:val="20"/>
              </w:rPr>
              <w:t>: 898-918.</w:t>
            </w:r>
            <w:r w:rsidRPr="004071A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877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4071A2">
              <w:rPr>
                <w:rFonts w:ascii="Arial" w:hAnsi="Arial" w:cs="Arial"/>
                <w:i/>
                <w:iCs/>
                <w:sz w:val="20"/>
                <w:szCs w:val="20"/>
              </w:rPr>
              <w:t>trab13,trab14,trab15</w:t>
            </w:r>
          </w:p>
        </w:tc>
      </w:tr>
      <w:tr w:rsidR="004071A2" w:rsidRPr="004071A2" w:rsidTr="00474099">
        <w:tc>
          <w:tcPr>
            <w:tcW w:w="2059" w:type="dxa"/>
            <w:vMerge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1" w:type="dxa"/>
            <w:vMerge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71A2">
              <w:rPr>
                <w:rFonts w:ascii="Arial" w:hAnsi="Arial" w:cs="Arial"/>
                <w:sz w:val="20"/>
                <w:szCs w:val="20"/>
              </w:rPr>
              <w:t>16 a 18</w:t>
            </w:r>
          </w:p>
        </w:tc>
        <w:tc>
          <w:tcPr>
            <w:tcW w:w="1559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71A2">
              <w:rPr>
                <w:rFonts w:ascii="Arial" w:hAnsi="Arial" w:cs="Arial"/>
                <w:sz w:val="20"/>
                <w:szCs w:val="20"/>
              </w:rPr>
              <w:t xml:space="preserve">Identidade Organizacional </w:t>
            </w:r>
            <w:proofErr w:type="spellStart"/>
            <w:r w:rsidRPr="004071A2">
              <w:rPr>
                <w:rFonts w:ascii="Arial" w:hAnsi="Arial" w:cs="Arial"/>
                <w:sz w:val="20"/>
                <w:szCs w:val="20"/>
              </w:rPr>
              <w:t>Prosocial</w:t>
            </w:r>
            <w:proofErr w:type="spellEnd"/>
            <w:r w:rsidR="009013FE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9013FE" w:rsidRPr="00904DC0">
              <w:rPr>
                <w:rFonts w:ascii="Arial" w:hAnsi="Arial" w:cs="Arial"/>
                <w:sz w:val="20"/>
                <w:szCs w:val="20"/>
                <w:shd w:val="clear" w:color="auto" w:fill="5B9BD5" w:themeFill="accent1"/>
              </w:rPr>
              <w:t>IOPS</w:t>
            </w:r>
            <w:r w:rsidR="009013F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827" w:type="dxa"/>
            <w:vMerge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877" w:type="dxa"/>
            <w:vAlign w:val="center"/>
          </w:tcPr>
          <w:p w:rsidR="004071A2" w:rsidRPr="004071A2" w:rsidRDefault="004071A2" w:rsidP="009013F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4071A2">
              <w:rPr>
                <w:rFonts w:ascii="Arial" w:hAnsi="Arial" w:cs="Arial"/>
                <w:i/>
                <w:iCs/>
                <w:sz w:val="20"/>
                <w:szCs w:val="20"/>
              </w:rPr>
              <w:t>trab16,trab17,trab18</w:t>
            </w:r>
          </w:p>
        </w:tc>
      </w:tr>
      <w:tr w:rsidR="004071A2" w:rsidRPr="004071A2" w:rsidTr="00474099">
        <w:trPr>
          <w:trHeight w:val="1016"/>
        </w:trPr>
        <w:tc>
          <w:tcPr>
            <w:tcW w:w="2059" w:type="dxa"/>
            <w:vMerge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1" w:type="dxa"/>
            <w:vMerge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71A2">
              <w:rPr>
                <w:rFonts w:ascii="Arial" w:eastAsia="Times New Roman" w:hAnsi="Arial" w:cs="Arial"/>
                <w:iCs/>
                <w:sz w:val="20"/>
                <w:szCs w:val="20"/>
                <w:lang w:val="pt-PT"/>
              </w:rPr>
              <w:t>19 a 24</w:t>
            </w:r>
          </w:p>
        </w:tc>
        <w:tc>
          <w:tcPr>
            <w:tcW w:w="1559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4320C">
              <w:rPr>
                <w:rFonts w:ascii="Arial" w:eastAsia="Times New Roman" w:hAnsi="Arial" w:cs="Arial"/>
                <w:iCs/>
                <w:sz w:val="20"/>
                <w:szCs w:val="20"/>
                <w:highlight w:val="yellow"/>
                <w:lang w:val="pt-PT"/>
              </w:rPr>
              <w:t>Impacto social percebido</w:t>
            </w:r>
            <w:r w:rsidR="009013FE">
              <w:rPr>
                <w:rFonts w:ascii="Arial" w:eastAsia="Times New Roman" w:hAnsi="Arial" w:cs="Arial"/>
                <w:iCs/>
                <w:sz w:val="20"/>
                <w:szCs w:val="20"/>
                <w:lang w:val="pt-PT"/>
              </w:rPr>
              <w:t xml:space="preserve"> (</w:t>
            </w:r>
            <w:r w:rsidR="009013FE" w:rsidRPr="00904DC0">
              <w:rPr>
                <w:rFonts w:ascii="Arial" w:eastAsia="Times New Roman" w:hAnsi="Arial" w:cs="Arial"/>
                <w:iCs/>
                <w:sz w:val="20"/>
                <w:szCs w:val="20"/>
                <w:shd w:val="clear" w:color="auto" w:fill="5B9BD5" w:themeFill="accent1"/>
                <w:lang w:val="pt-PT"/>
              </w:rPr>
              <w:t>ISP</w:t>
            </w:r>
            <w:r w:rsidR="009013FE">
              <w:rPr>
                <w:rFonts w:ascii="Arial" w:eastAsia="Times New Roman" w:hAnsi="Arial" w:cs="Arial"/>
                <w:iCs/>
                <w:sz w:val="20"/>
                <w:szCs w:val="20"/>
                <w:lang w:val="pt-PT"/>
              </w:rPr>
              <w:t>)</w:t>
            </w:r>
          </w:p>
        </w:tc>
        <w:tc>
          <w:tcPr>
            <w:tcW w:w="3827" w:type="dxa"/>
            <w:vMerge w:val="restart"/>
            <w:vAlign w:val="center"/>
          </w:tcPr>
          <w:p w:rsidR="004071A2" w:rsidRPr="004071A2" w:rsidRDefault="004071A2" w:rsidP="004071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4071A2">
              <w:rPr>
                <w:rFonts w:ascii="Arial" w:eastAsia="Times New Roman" w:hAnsi="Arial" w:cs="Arial"/>
                <w:i/>
                <w:iCs/>
                <w:sz w:val="20"/>
                <w:szCs w:val="20"/>
                <w:lang w:val="pt-PT"/>
              </w:rPr>
              <w:t xml:space="preserve">Escala validada com enfermeiros portugueses e brasileiros: </w:t>
            </w:r>
            <w:r w:rsidRPr="004071A2">
              <w:rPr>
                <w:rFonts w:ascii="Arial" w:hAnsi="Arial" w:cs="Arial"/>
                <w:i/>
                <w:sz w:val="20"/>
                <w:szCs w:val="20"/>
              </w:rPr>
              <w:t xml:space="preserve">Santos, A., Castanheira, F., </w:t>
            </w:r>
            <w:proofErr w:type="spellStart"/>
            <w:r w:rsidRPr="004071A2">
              <w:rPr>
                <w:rFonts w:ascii="Arial" w:hAnsi="Arial" w:cs="Arial"/>
                <w:i/>
                <w:sz w:val="20"/>
                <w:szCs w:val="20"/>
              </w:rPr>
              <w:t>Chambel</w:t>
            </w:r>
            <w:proofErr w:type="spellEnd"/>
            <w:r w:rsidRPr="004071A2">
              <w:rPr>
                <w:rFonts w:ascii="Arial" w:hAnsi="Arial" w:cs="Arial"/>
                <w:i/>
                <w:sz w:val="20"/>
                <w:szCs w:val="20"/>
              </w:rPr>
              <w:t xml:space="preserve">, M.J., Amarante, M.V., &amp; Costa, C. (2017). </w:t>
            </w:r>
            <w:r w:rsidRPr="004071A2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Psychological effects of relational job characteristics: validation of the scale for hospital nurses. </w:t>
            </w:r>
            <w:r w:rsidRPr="004071A2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Journal of Nursing Management</w:t>
            </w:r>
            <w:r w:rsidRPr="004071A2">
              <w:rPr>
                <w:rFonts w:ascii="Arial" w:hAnsi="Arial" w:cs="Arial"/>
                <w:i/>
                <w:sz w:val="20"/>
                <w:szCs w:val="20"/>
                <w:lang w:val="en-US"/>
              </w:rPr>
              <w:t>. DOI: 10.1111/jonm.12468</w:t>
            </w:r>
          </w:p>
        </w:tc>
        <w:tc>
          <w:tcPr>
            <w:tcW w:w="3877" w:type="dxa"/>
            <w:vAlign w:val="center"/>
          </w:tcPr>
          <w:p w:rsidR="004071A2" w:rsidRPr="004071A2" w:rsidRDefault="009013FE" w:rsidP="004071A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9013FE">
              <w:rPr>
                <w:rFonts w:ascii="Arial" w:hAnsi="Arial" w:cs="Arial"/>
                <w:i/>
                <w:iCs/>
                <w:sz w:val="20"/>
                <w:szCs w:val="20"/>
              </w:rPr>
              <w:t>trab19,trab20,trab21,trab22,trab23,trab24</w:t>
            </w:r>
          </w:p>
        </w:tc>
      </w:tr>
      <w:tr w:rsidR="004071A2" w:rsidRPr="004071A2" w:rsidTr="00474099">
        <w:tc>
          <w:tcPr>
            <w:tcW w:w="2059" w:type="dxa"/>
            <w:vMerge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1" w:type="dxa"/>
            <w:vMerge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4071A2" w:rsidRPr="004071A2" w:rsidRDefault="004071A2" w:rsidP="004071A2">
            <w:pPr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71A2">
              <w:rPr>
                <w:rFonts w:ascii="Arial" w:eastAsia="Times New Roman" w:hAnsi="Arial" w:cs="Arial"/>
                <w:iCs/>
                <w:sz w:val="20"/>
                <w:szCs w:val="20"/>
                <w:lang w:val="pt-PT"/>
              </w:rPr>
              <w:t>28 e 29</w:t>
            </w:r>
          </w:p>
        </w:tc>
        <w:tc>
          <w:tcPr>
            <w:tcW w:w="1559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4320C">
              <w:rPr>
                <w:rFonts w:ascii="Arial" w:eastAsia="Times New Roman" w:hAnsi="Arial" w:cs="Arial"/>
                <w:i/>
                <w:iCs/>
                <w:sz w:val="20"/>
                <w:szCs w:val="20"/>
                <w:highlight w:val="yellow"/>
                <w:lang w:val="pt-PT"/>
              </w:rPr>
              <w:t>Commitment</w:t>
            </w:r>
            <w:r w:rsidRPr="00A4320C">
              <w:rPr>
                <w:rFonts w:ascii="Arial" w:eastAsia="Times New Roman" w:hAnsi="Arial" w:cs="Arial"/>
                <w:iCs/>
                <w:sz w:val="20"/>
                <w:szCs w:val="20"/>
                <w:highlight w:val="yellow"/>
                <w:lang w:val="pt-PT"/>
              </w:rPr>
              <w:t xml:space="preserve"> afetivo face aos clientes</w:t>
            </w:r>
            <w:r w:rsidR="009013FE">
              <w:rPr>
                <w:rFonts w:ascii="Arial" w:eastAsia="Times New Roman" w:hAnsi="Arial" w:cs="Arial"/>
                <w:iCs/>
                <w:sz w:val="20"/>
                <w:szCs w:val="20"/>
                <w:lang w:val="pt-PT"/>
              </w:rPr>
              <w:t xml:space="preserve"> (</w:t>
            </w:r>
            <w:r w:rsidR="009013FE" w:rsidRPr="00904DC0">
              <w:rPr>
                <w:rFonts w:ascii="Arial" w:eastAsia="Times New Roman" w:hAnsi="Arial" w:cs="Arial"/>
                <w:iCs/>
                <w:sz w:val="20"/>
                <w:szCs w:val="20"/>
                <w:shd w:val="clear" w:color="auto" w:fill="5B9BD5" w:themeFill="accent1"/>
                <w:lang w:val="pt-PT"/>
              </w:rPr>
              <w:t>CAFC</w:t>
            </w:r>
            <w:r w:rsidR="009013FE">
              <w:rPr>
                <w:rFonts w:ascii="Arial" w:eastAsia="Times New Roman" w:hAnsi="Arial" w:cs="Arial"/>
                <w:iCs/>
                <w:sz w:val="20"/>
                <w:szCs w:val="20"/>
                <w:lang w:val="pt-PT"/>
              </w:rPr>
              <w:t>)</w:t>
            </w:r>
          </w:p>
        </w:tc>
        <w:tc>
          <w:tcPr>
            <w:tcW w:w="3827" w:type="dxa"/>
            <w:vMerge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877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4071A2">
              <w:rPr>
                <w:rFonts w:ascii="Arial" w:hAnsi="Arial" w:cs="Arial"/>
                <w:i/>
                <w:iCs/>
                <w:sz w:val="20"/>
                <w:szCs w:val="20"/>
              </w:rPr>
              <w:t>trab28,trab29</w:t>
            </w:r>
          </w:p>
        </w:tc>
      </w:tr>
      <w:tr w:rsidR="004071A2" w:rsidRPr="004071A2" w:rsidTr="00474099">
        <w:tc>
          <w:tcPr>
            <w:tcW w:w="2059" w:type="dxa"/>
            <w:vMerge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1" w:type="dxa"/>
            <w:vMerge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71A2">
              <w:rPr>
                <w:rFonts w:ascii="Arial" w:eastAsia="Times New Roman" w:hAnsi="Arial" w:cs="Arial"/>
                <w:iCs/>
                <w:sz w:val="20"/>
                <w:szCs w:val="20"/>
                <w:lang w:val="pt-PT"/>
              </w:rPr>
              <w:t>30 a 32</w:t>
            </w:r>
          </w:p>
        </w:tc>
        <w:tc>
          <w:tcPr>
            <w:tcW w:w="1559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4320C">
              <w:rPr>
                <w:rFonts w:ascii="Arial" w:eastAsia="Times New Roman" w:hAnsi="Arial" w:cs="Arial"/>
                <w:iCs/>
                <w:sz w:val="20"/>
                <w:szCs w:val="20"/>
                <w:highlight w:val="yellow"/>
                <w:lang w:val="pt-PT"/>
              </w:rPr>
              <w:t>Valor social percebido</w:t>
            </w:r>
            <w:r w:rsidR="009013FE">
              <w:rPr>
                <w:rFonts w:ascii="Arial" w:eastAsia="Times New Roman" w:hAnsi="Arial" w:cs="Arial"/>
                <w:iCs/>
                <w:sz w:val="20"/>
                <w:szCs w:val="20"/>
                <w:lang w:val="pt-PT"/>
              </w:rPr>
              <w:t xml:space="preserve"> </w:t>
            </w:r>
            <w:r w:rsidR="009013FE" w:rsidRPr="00904DC0">
              <w:rPr>
                <w:rFonts w:ascii="Arial" w:eastAsia="Times New Roman" w:hAnsi="Arial" w:cs="Arial"/>
                <w:iCs/>
                <w:sz w:val="20"/>
                <w:szCs w:val="20"/>
                <w:shd w:val="clear" w:color="auto" w:fill="5B9BD5" w:themeFill="accent1"/>
                <w:lang w:val="pt-PT"/>
              </w:rPr>
              <w:t>(VSP</w:t>
            </w:r>
            <w:r w:rsidR="009013FE">
              <w:rPr>
                <w:rFonts w:ascii="Arial" w:eastAsia="Times New Roman" w:hAnsi="Arial" w:cs="Arial"/>
                <w:iCs/>
                <w:sz w:val="20"/>
                <w:szCs w:val="20"/>
                <w:lang w:val="pt-PT"/>
              </w:rPr>
              <w:t>)</w:t>
            </w:r>
          </w:p>
        </w:tc>
        <w:tc>
          <w:tcPr>
            <w:tcW w:w="3827" w:type="dxa"/>
            <w:vMerge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877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4071A2">
              <w:rPr>
                <w:rFonts w:ascii="Arial" w:hAnsi="Arial" w:cs="Arial"/>
                <w:i/>
                <w:iCs/>
                <w:sz w:val="20"/>
                <w:szCs w:val="20"/>
              </w:rPr>
              <w:t>trab30,trab31,trab32</w:t>
            </w:r>
          </w:p>
        </w:tc>
      </w:tr>
      <w:tr w:rsidR="004071A2" w:rsidRPr="004071A2" w:rsidTr="00474099">
        <w:tc>
          <w:tcPr>
            <w:tcW w:w="2059" w:type="dxa"/>
            <w:vMerge w:val="restart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pt-PT"/>
              </w:rPr>
            </w:pPr>
            <w:r w:rsidRPr="004071A2">
              <w:rPr>
                <w:rFonts w:ascii="Arial" w:hAnsi="Arial" w:cs="Arial"/>
                <w:b/>
                <w:sz w:val="20"/>
                <w:szCs w:val="20"/>
                <w:lang w:val="pt-PT"/>
              </w:rPr>
              <w:t>As suas atitudes face ao seu trabalho</w:t>
            </w:r>
          </w:p>
        </w:tc>
        <w:tc>
          <w:tcPr>
            <w:tcW w:w="771" w:type="dxa"/>
            <w:vMerge w:val="restart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71A2">
              <w:rPr>
                <w:rFonts w:ascii="Arial" w:hAnsi="Arial" w:cs="Arial"/>
                <w:sz w:val="20"/>
                <w:szCs w:val="20"/>
              </w:rPr>
              <w:t>10-11</w:t>
            </w:r>
          </w:p>
        </w:tc>
        <w:tc>
          <w:tcPr>
            <w:tcW w:w="2127" w:type="dxa"/>
            <w:vAlign w:val="center"/>
          </w:tcPr>
          <w:p w:rsidR="004071A2" w:rsidRPr="004071A2" w:rsidRDefault="004071A2" w:rsidP="004071A2">
            <w:pPr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71A2">
              <w:rPr>
                <w:rFonts w:ascii="Arial" w:hAnsi="Arial" w:cs="Arial"/>
                <w:sz w:val="20"/>
                <w:szCs w:val="20"/>
                <w:lang w:val="pt-PT"/>
              </w:rPr>
              <w:t>1, 5,9, 13,17</w:t>
            </w:r>
          </w:p>
        </w:tc>
        <w:tc>
          <w:tcPr>
            <w:tcW w:w="1559" w:type="dxa"/>
            <w:vAlign w:val="center"/>
          </w:tcPr>
          <w:p w:rsidR="004071A2" w:rsidRPr="004071A2" w:rsidRDefault="004071A2" w:rsidP="004071A2">
            <w:pPr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4071A2">
              <w:rPr>
                <w:rFonts w:ascii="Arial" w:hAnsi="Arial" w:cs="Arial"/>
                <w:sz w:val="20"/>
                <w:szCs w:val="20"/>
                <w:lang w:val="pt-PT"/>
              </w:rPr>
              <w:t xml:space="preserve">Aumento de recursos estruturais </w:t>
            </w:r>
            <w:r w:rsidR="009013FE">
              <w:rPr>
                <w:rFonts w:ascii="Arial" w:hAnsi="Arial" w:cs="Arial"/>
                <w:sz w:val="20"/>
                <w:szCs w:val="20"/>
                <w:lang w:val="pt-PT"/>
              </w:rPr>
              <w:t>(</w:t>
            </w:r>
            <w:r w:rsidR="009013FE" w:rsidRPr="00904DC0">
              <w:rPr>
                <w:rFonts w:ascii="Arial" w:hAnsi="Arial" w:cs="Arial"/>
                <w:sz w:val="20"/>
                <w:szCs w:val="20"/>
                <w:shd w:val="clear" w:color="auto" w:fill="5B9BD5" w:themeFill="accent1"/>
                <w:lang w:val="pt-PT"/>
              </w:rPr>
              <w:t>ARE</w:t>
            </w:r>
            <w:r w:rsidR="009013FE">
              <w:rPr>
                <w:rFonts w:ascii="Arial" w:hAnsi="Arial" w:cs="Arial"/>
                <w:sz w:val="20"/>
                <w:szCs w:val="20"/>
                <w:lang w:val="pt-PT"/>
              </w:rPr>
              <w:t>)</w:t>
            </w:r>
          </w:p>
          <w:p w:rsidR="004071A2" w:rsidRPr="004071A2" w:rsidRDefault="004071A2" w:rsidP="004071A2">
            <w:pPr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3827" w:type="dxa"/>
            <w:vMerge w:val="restart"/>
            <w:vAlign w:val="center"/>
          </w:tcPr>
          <w:p w:rsidR="004071A2" w:rsidRPr="004071A2" w:rsidRDefault="004071A2" w:rsidP="004071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4071A2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Tims, M., Bakker, A. B., &amp; </w:t>
            </w:r>
            <w:proofErr w:type="spellStart"/>
            <w:r w:rsidRPr="004071A2">
              <w:rPr>
                <w:rFonts w:ascii="Arial" w:hAnsi="Arial" w:cs="Arial"/>
                <w:i/>
                <w:sz w:val="20"/>
                <w:szCs w:val="20"/>
                <w:lang w:val="en-US"/>
              </w:rPr>
              <w:t>Derks</w:t>
            </w:r>
            <w:proofErr w:type="spellEnd"/>
            <w:r w:rsidRPr="004071A2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, D. (2012). The development and validation of the Job Crafting Scale. </w:t>
            </w:r>
            <w:r w:rsidRPr="004071A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Journal </w:t>
            </w:r>
            <w:proofErr w:type="spellStart"/>
            <w:r w:rsidRPr="004071A2">
              <w:rPr>
                <w:rFonts w:ascii="Arial" w:hAnsi="Arial" w:cs="Arial"/>
                <w:i/>
                <w:iCs/>
                <w:sz w:val="20"/>
                <w:szCs w:val="20"/>
              </w:rPr>
              <w:t>of</w:t>
            </w:r>
            <w:proofErr w:type="spellEnd"/>
            <w:r w:rsidRPr="004071A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071A2">
              <w:rPr>
                <w:rFonts w:ascii="Arial" w:hAnsi="Arial" w:cs="Arial"/>
                <w:i/>
                <w:iCs/>
                <w:sz w:val="20"/>
                <w:szCs w:val="20"/>
              </w:rPr>
              <w:t>Vocational</w:t>
            </w:r>
            <w:proofErr w:type="spellEnd"/>
            <w:r w:rsidRPr="004071A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071A2">
              <w:rPr>
                <w:rFonts w:ascii="Arial" w:hAnsi="Arial" w:cs="Arial"/>
                <w:i/>
                <w:iCs/>
                <w:sz w:val="20"/>
                <w:szCs w:val="20"/>
              </w:rPr>
              <w:t>Behavior</w:t>
            </w:r>
            <w:proofErr w:type="spellEnd"/>
            <w:r w:rsidRPr="004071A2">
              <w:rPr>
                <w:rFonts w:ascii="Arial" w:hAnsi="Arial" w:cs="Arial"/>
                <w:i/>
                <w:iCs/>
                <w:sz w:val="20"/>
                <w:szCs w:val="20"/>
              </w:rPr>
              <w:t>, 80,</w:t>
            </w:r>
            <w:r w:rsidRPr="004071A2">
              <w:rPr>
                <w:rFonts w:ascii="Arial" w:hAnsi="Arial" w:cs="Arial"/>
                <w:i/>
                <w:sz w:val="20"/>
                <w:szCs w:val="20"/>
              </w:rPr>
              <w:t xml:space="preserve">173–186. </w:t>
            </w:r>
            <w:proofErr w:type="gramStart"/>
            <w:r w:rsidRPr="004071A2">
              <w:rPr>
                <w:rFonts w:ascii="Arial" w:hAnsi="Arial" w:cs="Arial"/>
                <w:i/>
                <w:sz w:val="20"/>
                <w:szCs w:val="20"/>
              </w:rPr>
              <w:t>doi:10.1016/j.jvb</w:t>
            </w:r>
            <w:proofErr w:type="gramEnd"/>
            <w:r w:rsidRPr="004071A2">
              <w:rPr>
                <w:rFonts w:ascii="Arial" w:hAnsi="Arial" w:cs="Arial"/>
                <w:i/>
                <w:sz w:val="20"/>
                <w:szCs w:val="20"/>
              </w:rPr>
              <w:t xml:space="preserve">.2011.05.009 </w:t>
            </w:r>
          </w:p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877" w:type="dxa"/>
            <w:vAlign w:val="center"/>
          </w:tcPr>
          <w:p w:rsidR="004071A2" w:rsidRPr="004071A2" w:rsidRDefault="009013FE" w:rsidP="004A683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4071A2">
              <w:rPr>
                <w:rFonts w:ascii="Arial" w:hAnsi="Arial" w:cs="Arial"/>
                <w:i/>
                <w:sz w:val="20"/>
                <w:szCs w:val="20"/>
              </w:rPr>
              <w:t>atitrab1,atitrab5,atitrab9,atitrab13,</w:t>
            </w:r>
            <w:r w:rsidR="004A683A">
              <w:rPr>
                <w:rFonts w:ascii="Arial" w:hAnsi="Arial" w:cs="Arial"/>
                <w:i/>
                <w:sz w:val="20"/>
                <w:szCs w:val="20"/>
              </w:rPr>
              <w:t>atit</w:t>
            </w:r>
            <w:r w:rsidRPr="004071A2">
              <w:rPr>
                <w:rFonts w:ascii="Arial" w:hAnsi="Arial" w:cs="Arial"/>
                <w:i/>
                <w:sz w:val="20"/>
                <w:szCs w:val="20"/>
              </w:rPr>
              <w:t>rab17</w:t>
            </w:r>
          </w:p>
        </w:tc>
      </w:tr>
      <w:tr w:rsidR="004071A2" w:rsidRPr="004071A2" w:rsidTr="00474099">
        <w:tc>
          <w:tcPr>
            <w:tcW w:w="2059" w:type="dxa"/>
            <w:vMerge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1" w:type="dxa"/>
            <w:vMerge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71A2">
              <w:rPr>
                <w:rFonts w:ascii="Arial" w:hAnsi="Arial" w:cs="Arial"/>
                <w:sz w:val="20"/>
                <w:szCs w:val="20"/>
                <w:lang w:val="pt-PT"/>
              </w:rPr>
              <w:t>2, 6,10, 14,18,21</w:t>
            </w:r>
          </w:p>
        </w:tc>
        <w:tc>
          <w:tcPr>
            <w:tcW w:w="1559" w:type="dxa"/>
            <w:vAlign w:val="center"/>
          </w:tcPr>
          <w:p w:rsidR="004071A2" w:rsidRPr="004071A2" w:rsidRDefault="004071A2" w:rsidP="004071A2">
            <w:pPr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4071A2">
              <w:rPr>
                <w:rFonts w:ascii="Arial" w:hAnsi="Arial" w:cs="Arial"/>
                <w:sz w:val="20"/>
                <w:szCs w:val="20"/>
                <w:lang w:val="pt-PT"/>
              </w:rPr>
              <w:t xml:space="preserve">Diminuição de exigências dificultadoras </w:t>
            </w:r>
          </w:p>
          <w:p w:rsidR="004071A2" w:rsidRPr="004071A2" w:rsidRDefault="009013FE" w:rsidP="004071A2">
            <w:pPr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904DC0">
              <w:rPr>
                <w:rFonts w:ascii="Arial" w:hAnsi="Arial" w:cs="Arial"/>
                <w:sz w:val="20"/>
                <w:szCs w:val="20"/>
                <w:shd w:val="clear" w:color="auto" w:fill="5B9BD5" w:themeFill="accent1"/>
                <w:lang w:val="pt-PT"/>
              </w:rPr>
              <w:t>(DED</w:t>
            </w:r>
            <w:r>
              <w:rPr>
                <w:rFonts w:ascii="Arial" w:hAnsi="Arial" w:cs="Arial"/>
                <w:sz w:val="20"/>
                <w:szCs w:val="20"/>
                <w:lang w:val="pt-PT"/>
              </w:rPr>
              <w:t>)</w:t>
            </w:r>
          </w:p>
        </w:tc>
        <w:tc>
          <w:tcPr>
            <w:tcW w:w="3827" w:type="dxa"/>
            <w:vMerge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877" w:type="dxa"/>
            <w:vAlign w:val="center"/>
          </w:tcPr>
          <w:p w:rsidR="004071A2" w:rsidRPr="004071A2" w:rsidRDefault="004071A2" w:rsidP="00FF5489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4071A2">
              <w:rPr>
                <w:rFonts w:ascii="Arial" w:hAnsi="Arial" w:cs="Arial"/>
                <w:i/>
                <w:sz w:val="20"/>
                <w:szCs w:val="20"/>
              </w:rPr>
              <w:t>atitrab2,atitrab6,atitrab10,</w:t>
            </w:r>
            <w:r w:rsidR="00FF5489">
              <w:rPr>
                <w:rFonts w:ascii="Arial" w:hAnsi="Arial" w:cs="Arial"/>
                <w:i/>
                <w:sz w:val="20"/>
                <w:szCs w:val="20"/>
              </w:rPr>
              <w:t>atitrab14, atitrab18</w:t>
            </w:r>
          </w:p>
        </w:tc>
      </w:tr>
      <w:tr w:rsidR="004071A2" w:rsidRPr="004071A2" w:rsidTr="00474099">
        <w:tc>
          <w:tcPr>
            <w:tcW w:w="2059" w:type="dxa"/>
            <w:vMerge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1" w:type="dxa"/>
            <w:vMerge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71A2">
              <w:rPr>
                <w:rFonts w:ascii="Arial" w:hAnsi="Arial" w:cs="Arial"/>
                <w:sz w:val="20"/>
                <w:szCs w:val="20"/>
                <w:lang w:val="pt-PT"/>
              </w:rPr>
              <w:t>3, 7,11, 15,19</w:t>
            </w:r>
          </w:p>
        </w:tc>
        <w:tc>
          <w:tcPr>
            <w:tcW w:w="1559" w:type="dxa"/>
            <w:vAlign w:val="center"/>
          </w:tcPr>
          <w:p w:rsidR="004071A2" w:rsidRDefault="004071A2" w:rsidP="004071A2">
            <w:pPr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4071A2">
              <w:rPr>
                <w:rFonts w:ascii="Arial" w:hAnsi="Arial" w:cs="Arial"/>
                <w:sz w:val="20"/>
                <w:szCs w:val="20"/>
                <w:lang w:val="pt-PT"/>
              </w:rPr>
              <w:t>Aumento de recursos sociais</w:t>
            </w:r>
          </w:p>
          <w:p w:rsidR="00FF5489" w:rsidRPr="004071A2" w:rsidRDefault="00FF5489" w:rsidP="004071A2">
            <w:pPr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>(</w:t>
            </w:r>
            <w:r w:rsidRPr="00904DC0">
              <w:rPr>
                <w:rFonts w:ascii="Arial" w:hAnsi="Arial" w:cs="Arial"/>
                <w:sz w:val="20"/>
                <w:szCs w:val="20"/>
                <w:shd w:val="clear" w:color="auto" w:fill="5B9BD5" w:themeFill="accent1"/>
                <w:lang w:val="pt-PT"/>
              </w:rPr>
              <w:t>ARS</w:t>
            </w:r>
            <w:r>
              <w:rPr>
                <w:rFonts w:ascii="Arial" w:hAnsi="Arial" w:cs="Arial"/>
                <w:sz w:val="20"/>
                <w:szCs w:val="20"/>
                <w:lang w:val="pt-PT"/>
              </w:rPr>
              <w:t>)</w:t>
            </w:r>
          </w:p>
          <w:p w:rsidR="004071A2" w:rsidRPr="004071A2" w:rsidRDefault="004071A2" w:rsidP="004071A2">
            <w:pPr>
              <w:suppressAutoHyphens/>
              <w:spacing w:after="0" w:line="240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3827" w:type="dxa"/>
            <w:vMerge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877" w:type="dxa"/>
            <w:vAlign w:val="center"/>
          </w:tcPr>
          <w:p w:rsidR="004071A2" w:rsidRPr="004071A2" w:rsidRDefault="004071A2" w:rsidP="00FF5489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4071A2">
              <w:rPr>
                <w:rFonts w:ascii="Arial" w:hAnsi="Arial" w:cs="Arial"/>
                <w:i/>
                <w:sz w:val="20"/>
                <w:szCs w:val="20"/>
              </w:rPr>
              <w:t>atitrab3,atitrab7,atitrab11,atitrab15</w:t>
            </w:r>
            <w:r w:rsidR="00FF5489">
              <w:rPr>
                <w:rFonts w:ascii="Arial" w:hAnsi="Arial" w:cs="Arial"/>
                <w:i/>
                <w:sz w:val="20"/>
                <w:szCs w:val="20"/>
              </w:rPr>
              <w:t>, atit</w:t>
            </w:r>
            <w:r w:rsidRPr="004071A2">
              <w:rPr>
                <w:rFonts w:ascii="Arial" w:hAnsi="Arial" w:cs="Arial"/>
                <w:i/>
                <w:sz w:val="20"/>
                <w:szCs w:val="20"/>
              </w:rPr>
              <w:t>rab19</w:t>
            </w:r>
          </w:p>
        </w:tc>
      </w:tr>
      <w:tr w:rsidR="004071A2" w:rsidRPr="004071A2" w:rsidTr="00474099">
        <w:tc>
          <w:tcPr>
            <w:tcW w:w="2059" w:type="dxa"/>
            <w:vMerge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1" w:type="dxa"/>
            <w:vMerge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71A2">
              <w:rPr>
                <w:rFonts w:ascii="Arial" w:hAnsi="Arial" w:cs="Arial"/>
                <w:sz w:val="20"/>
                <w:szCs w:val="20"/>
                <w:lang w:val="pt-PT"/>
              </w:rPr>
              <w:t>4, 8,12, 16,20</w:t>
            </w:r>
          </w:p>
        </w:tc>
        <w:tc>
          <w:tcPr>
            <w:tcW w:w="1559" w:type="dxa"/>
            <w:vAlign w:val="center"/>
          </w:tcPr>
          <w:p w:rsid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4071A2">
              <w:rPr>
                <w:rFonts w:ascii="Arial" w:hAnsi="Arial" w:cs="Arial"/>
                <w:sz w:val="20"/>
                <w:szCs w:val="20"/>
                <w:lang w:val="pt-PT"/>
              </w:rPr>
              <w:t xml:space="preserve">Aumento de exigências desafiantes </w:t>
            </w:r>
          </w:p>
          <w:p w:rsidR="00FF5489" w:rsidRPr="004071A2" w:rsidRDefault="00FF5489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>(</w:t>
            </w:r>
            <w:r w:rsidRPr="00904DC0">
              <w:rPr>
                <w:rFonts w:ascii="Arial" w:hAnsi="Arial" w:cs="Arial"/>
                <w:sz w:val="20"/>
                <w:szCs w:val="20"/>
                <w:shd w:val="clear" w:color="auto" w:fill="5B9BD5" w:themeFill="accent1"/>
                <w:lang w:val="pt-PT"/>
              </w:rPr>
              <w:t>AED)</w:t>
            </w:r>
          </w:p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vMerge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877" w:type="dxa"/>
            <w:vAlign w:val="center"/>
          </w:tcPr>
          <w:p w:rsidR="004071A2" w:rsidRPr="004071A2" w:rsidRDefault="004071A2" w:rsidP="00FF5489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4071A2">
              <w:rPr>
                <w:rFonts w:ascii="Arial" w:hAnsi="Arial" w:cs="Arial"/>
                <w:i/>
                <w:sz w:val="20"/>
                <w:szCs w:val="20"/>
              </w:rPr>
              <w:t>atitrab4,atitrab8,atitrab12,</w:t>
            </w:r>
            <w:r w:rsidR="00FF5489">
              <w:rPr>
                <w:rFonts w:ascii="Arial" w:hAnsi="Arial" w:cs="Arial"/>
                <w:i/>
                <w:sz w:val="20"/>
                <w:szCs w:val="20"/>
              </w:rPr>
              <w:t>atitrab16, atit</w:t>
            </w:r>
            <w:r w:rsidRPr="004071A2">
              <w:rPr>
                <w:rFonts w:ascii="Arial" w:hAnsi="Arial" w:cs="Arial"/>
                <w:i/>
                <w:sz w:val="20"/>
                <w:szCs w:val="20"/>
              </w:rPr>
              <w:t>rab20</w:t>
            </w:r>
          </w:p>
        </w:tc>
      </w:tr>
      <w:tr w:rsidR="004071A2" w:rsidRPr="009013FE" w:rsidTr="00474099">
        <w:tc>
          <w:tcPr>
            <w:tcW w:w="2059" w:type="dxa"/>
            <w:vMerge w:val="restart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071A2">
              <w:rPr>
                <w:rFonts w:ascii="Arial" w:hAnsi="Arial" w:cs="Arial"/>
                <w:b/>
                <w:sz w:val="20"/>
                <w:szCs w:val="20"/>
              </w:rPr>
              <w:t>O seu bem-estar</w:t>
            </w:r>
          </w:p>
        </w:tc>
        <w:tc>
          <w:tcPr>
            <w:tcW w:w="771" w:type="dxa"/>
            <w:vMerge w:val="restart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71A2">
              <w:rPr>
                <w:rFonts w:ascii="Arial" w:hAnsi="Arial" w:cs="Arial"/>
                <w:sz w:val="20"/>
                <w:szCs w:val="20"/>
              </w:rPr>
              <w:t>12-13</w:t>
            </w:r>
          </w:p>
        </w:tc>
        <w:tc>
          <w:tcPr>
            <w:tcW w:w="2127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4071A2">
              <w:rPr>
                <w:rFonts w:ascii="Arial" w:hAnsi="Arial" w:cs="Arial"/>
                <w:sz w:val="20"/>
                <w:szCs w:val="20"/>
                <w:lang w:val="pt-PT"/>
              </w:rPr>
              <w:t>1-9</w:t>
            </w:r>
          </w:p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904DC0">
              <w:rPr>
                <w:rFonts w:ascii="Arial" w:hAnsi="Arial" w:cs="Arial"/>
                <w:sz w:val="20"/>
                <w:szCs w:val="20"/>
                <w:shd w:val="clear" w:color="auto" w:fill="5B9BD5" w:themeFill="accent1"/>
                <w:lang w:val="pt-PT"/>
              </w:rPr>
              <w:t>Engagement</w:t>
            </w:r>
            <w:r w:rsidRPr="004071A2">
              <w:rPr>
                <w:rFonts w:ascii="Arial" w:hAnsi="Arial" w:cs="Arial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4071A2">
              <w:rPr>
                <w:rFonts w:ascii="Arial" w:hAnsi="Arial" w:cs="Arial"/>
                <w:i/>
                <w:sz w:val="20"/>
                <w:szCs w:val="20"/>
                <w:lang w:val="pt-PT"/>
              </w:rPr>
              <w:t>Escala reduzida de engagement de Schaufeli, Bakker, &amp; Salanova (2006).</w:t>
            </w:r>
          </w:p>
        </w:tc>
        <w:tc>
          <w:tcPr>
            <w:tcW w:w="3877" w:type="dxa"/>
            <w:vAlign w:val="center"/>
          </w:tcPr>
          <w:p w:rsidR="004071A2" w:rsidRPr="004071A2" w:rsidRDefault="004071A2" w:rsidP="00FF5489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4071A2">
              <w:rPr>
                <w:rFonts w:ascii="Arial" w:hAnsi="Arial" w:cs="Arial"/>
                <w:i/>
                <w:sz w:val="20"/>
                <w:szCs w:val="20"/>
                <w:lang w:val="en-US"/>
              </w:rPr>
              <w:t>be1,be2,be3</w:t>
            </w:r>
            <w:r w:rsidR="00FF5489">
              <w:rPr>
                <w:rFonts w:ascii="Arial" w:hAnsi="Arial" w:cs="Arial"/>
                <w:i/>
                <w:sz w:val="20"/>
                <w:szCs w:val="20"/>
                <w:lang w:val="en-US"/>
              </w:rPr>
              <w:t>,</w:t>
            </w:r>
            <w:r w:rsidRPr="004071A2">
              <w:rPr>
                <w:rFonts w:ascii="Arial" w:hAnsi="Arial" w:cs="Arial"/>
                <w:i/>
                <w:sz w:val="20"/>
                <w:szCs w:val="20"/>
                <w:lang w:val="en-US"/>
              </w:rPr>
              <w:t>be4,be5,be6,be7,be8,be9</w:t>
            </w:r>
          </w:p>
        </w:tc>
      </w:tr>
      <w:tr w:rsidR="004071A2" w:rsidRPr="009013FE" w:rsidTr="00904DC0">
        <w:tc>
          <w:tcPr>
            <w:tcW w:w="2059" w:type="dxa"/>
            <w:vMerge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71" w:type="dxa"/>
            <w:vMerge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71A2">
              <w:rPr>
                <w:rFonts w:ascii="Arial" w:hAnsi="Arial" w:cs="Arial"/>
                <w:sz w:val="20"/>
                <w:szCs w:val="20"/>
                <w:lang w:val="pt-PT"/>
              </w:rPr>
              <w:t>10-14</w:t>
            </w:r>
          </w:p>
        </w:tc>
        <w:tc>
          <w:tcPr>
            <w:tcW w:w="1559" w:type="dxa"/>
            <w:shd w:val="clear" w:color="auto" w:fill="5B9BD5" w:themeFill="accent1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4071A2">
              <w:rPr>
                <w:rFonts w:ascii="Arial" w:hAnsi="Arial" w:cs="Arial"/>
                <w:sz w:val="20"/>
                <w:szCs w:val="20"/>
                <w:lang w:val="pt-PT"/>
              </w:rPr>
              <w:t>Exaustão</w:t>
            </w:r>
          </w:p>
        </w:tc>
        <w:tc>
          <w:tcPr>
            <w:tcW w:w="3827" w:type="dxa"/>
            <w:vMerge w:val="restart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4071A2">
              <w:rPr>
                <w:rFonts w:ascii="Arial" w:hAnsi="Arial" w:cs="Arial"/>
                <w:i/>
                <w:sz w:val="20"/>
                <w:szCs w:val="20"/>
                <w:lang w:val="pt-PT"/>
              </w:rPr>
              <w:t>Tradução do Maslach Burnout Inventory (Maslach, Jackson, &amp; Leiter, 1996)</w:t>
            </w:r>
          </w:p>
        </w:tc>
        <w:tc>
          <w:tcPr>
            <w:tcW w:w="3877" w:type="dxa"/>
            <w:vAlign w:val="center"/>
          </w:tcPr>
          <w:p w:rsidR="004071A2" w:rsidRPr="004071A2" w:rsidRDefault="004071A2" w:rsidP="00FF5489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4071A2">
              <w:rPr>
                <w:rFonts w:ascii="Arial" w:hAnsi="Arial" w:cs="Arial"/>
                <w:i/>
                <w:sz w:val="20"/>
                <w:szCs w:val="20"/>
                <w:lang w:val="en-US"/>
              </w:rPr>
              <w:t>be10,be11,be12,be13,be14</w:t>
            </w:r>
          </w:p>
        </w:tc>
      </w:tr>
      <w:tr w:rsidR="004071A2" w:rsidRPr="009013FE" w:rsidTr="00904DC0">
        <w:tc>
          <w:tcPr>
            <w:tcW w:w="2059" w:type="dxa"/>
            <w:vMerge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71" w:type="dxa"/>
            <w:vMerge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71A2">
              <w:rPr>
                <w:rFonts w:ascii="Arial" w:hAnsi="Arial" w:cs="Arial"/>
                <w:sz w:val="20"/>
                <w:szCs w:val="20"/>
                <w:lang w:val="pt-PT"/>
              </w:rPr>
              <w:t>15-19</w:t>
            </w:r>
          </w:p>
        </w:tc>
        <w:tc>
          <w:tcPr>
            <w:tcW w:w="1559" w:type="dxa"/>
            <w:shd w:val="clear" w:color="auto" w:fill="5B9BD5" w:themeFill="accent1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4071A2">
              <w:rPr>
                <w:rFonts w:ascii="Arial" w:hAnsi="Arial" w:cs="Arial"/>
                <w:sz w:val="20"/>
                <w:szCs w:val="20"/>
                <w:lang w:val="pt-PT"/>
              </w:rPr>
              <w:t>Cinismo</w:t>
            </w:r>
          </w:p>
        </w:tc>
        <w:tc>
          <w:tcPr>
            <w:tcW w:w="3827" w:type="dxa"/>
            <w:vMerge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3877" w:type="dxa"/>
            <w:vAlign w:val="center"/>
          </w:tcPr>
          <w:p w:rsidR="004071A2" w:rsidRPr="004071A2" w:rsidRDefault="004071A2" w:rsidP="00FF5489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4071A2">
              <w:rPr>
                <w:rFonts w:ascii="Arial" w:hAnsi="Arial" w:cs="Arial"/>
                <w:i/>
                <w:sz w:val="20"/>
                <w:szCs w:val="20"/>
                <w:lang w:val="en-US"/>
              </w:rPr>
              <w:t>be15,</w:t>
            </w:r>
            <w:r w:rsidR="00FF5489">
              <w:rPr>
                <w:rFonts w:ascii="Arial" w:hAnsi="Arial" w:cs="Arial"/>
                <w:i/>
                <w:sz w:val="20"/>
                <w:szCs w:val="20"/>
                <w:lang w:val="en-US"/>
              </w:rPr>
              <w:t>be16,</w:t>
            </w:r>
            <w:r w:rsidRPr="004071A2">
              <w:rPr>
                <w:rFonts w:ascii="Arial" w:hAnsi="Arial" w:cs="Arial"/>
                <w:i/>
                <w:sz w:val="20"/>
                <w:szCs w:val="20"/>
                <w:lang w:val="en-US"/>
              </w:rPr>
              <w:t>be17,</w:t>
            </w:r>
            <w:r w:rsidR="00FF5489">
              <w:rPr>
                <w:rFonts w:ascii="Arial" w:hAnsi="Arial" w:cs="Arial"/>
                <w:i/>
                <w:sz w:val="20"/>
                <w:szCs w:val="20"/>
                <w:lang w:val="en-US"/>
              </w:rPr>
              <w:t>be18,</w:t>
            </w:r>
            <w:r w:rsidRPr="004071A2">
              <w:rPr>
                <w:rFonts w:ascii="Arial" w:hAnsi="Arial" w:cs="Arial"/>
                <w:i/>
                <w:sz w:val="20"/>
                <w:szCs w:val="20"/>
                <w:lang w:val="en-US"/>
              </w:rPr>
              <w:t>be19</w:t>
            </w:r>
          </w:p>
        </w:tc>
      </w:tr>
      <w:tr w:rsidR="004071A2" w:rsidRPr="009013FE" w:rsidTr="00474099">
        <w:tc>
          <w:tcPr>
            <w:tcW w:w="2059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071A2">
              <w:rPr>
                <w:rFonts w:ascii="Arial" w:hAnsi="Arial" w:cs="Arial"/>
                <w:b/>
                <w:sz w:val="20"/>
                <w:szCs w:val="20"/>
              </w:rPr>
              <w:lastRenderedPageBreak/>
              <w:t>O seu bem-estar</w:t>
            </w:r>
          </w:p>
        </w:tc>
        <w:tc>
          <w:tcPr>
            <w:tcW w:w="771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71A2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127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71A2">
              <w:rPr>
                <w:rFonts w:ascii="Arial" w:hAnsi="Arial" w:cs="Arial"/>
                <w:sz w:val="20"/>
                <w:szCs w:val="20"/>
              </w:rPr>
              <w:t>1 a 5</w:t>
            </w:r>
          </w:p>
        </w:tc>
        <w:tc>
          <w:tcPr>
            <w:tcW w:w="1559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71A2">
              <w:rPr>
                <w:rFonts w:ascii="Arial" w:hAnsi="Arial" w:cs="Arial"/>
                <w:sz w:val="20"/>
                <w:szCs w:val="20"/>
              </w:rPr>
              <w:t xml:space="preserve">Satisfação com a vida </w:t>
            </w:r>
            <w:r w:rsidR="00FF5489">
              <w:rPr>
                <w:rFonts w:ascii="Arial" w:hAnsi="Arial" w:cs="Arial"/>
                <w:sz w:val="20"/>
                <w:szCs w:val="20"/>
              </w:rPr>
              <w:t>(</w:t>
            </w:r>
            <w:r w:rsidR="00FF5489" w:rsidRPr="00904DC0">
              <w:rPr>
                <w:rFonts w:ascii="Arial" w:hAnsi="Arial" w:cs="Arial"/>
                <w:sz w:val="20"/>
                <w:szCs w:val="20"/>
                <w:shd w:val="clear" w:color="auto" w:fill="5B9BD5" w:themeFill="accent1"/>
              </w:rPr>
              <w:t>SCV)</w:t>
            </w:r>
          </w:p>
        </w:tc>
        <w:tc>
          <w:tcPr>
            <w:tcW w:w="3827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4071A2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 xml:space="preserve">Diener, E.; Emmons, R. A.; Larsen J.R.; Griffin, S. (1985). The satisfaction with life scale. </w:t>
            </w:r>
            <w:proofErr w:type="spellStart"/>
            <w:r w:rsidRPr="004071A2">
              <w:rPr>
                <w:rFonts w:ascii="Arial" w:hAnsi="Arial" w:cs="Arial"/>
                <w:bCs/>
                <w:i/>
                <w:sz w:val="20"/>
                <w:szCs w:val="20"/>
              </w:rPr>
              <w:t>Journal</w:t>
            </w:r>
            <w:proofErr w:type="spellEnd"/>
            <w:r w:rsidRPr="004071A2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4071A2">
              <w:rPr>
                <w:rFonts w:ascii="Arial" w:hAnsi="Arial" w:cs="Arial"/>
                <w:bCs/>
                <w:i/>
                <w:sz w:val="20"/>
                <w:szCs w:val="20"/>
              </w:rPr>
              <w:t>of</w:t>
            </w:r>
            <w:proofErr w:type="spellEnd"/>
            <w:r w:rsidRPr="004071A2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4071A2">
              <w:rPr>
                <w:rFonts w:ascii="Arial" w:hAnsi="Arial" w:cs="Arial"/>
                <w:bCs/>
                <w:i/>
                <w:sz w:val="20"/>
                <w:szCs w:val="20"/>
              </w:rPr>
              <w:t>personality</w:t>
            </w:r>
            <w:proofErr w:type="spellEnd"/>
            <w:r w:rsidRPr="004071A2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4071A2">
              <w:rPr>
                <w:rFonts w:ascii="Arial" w:hAnsi="Arial" w:cs="Arial"/>
                <w:bCs/>
                <w:i/>
                <w:sz w:val="20"/>
                <w:szCs w:val="20"/>
              </w:rPr>
              <w:t>assessment</w:t>
            </w:r>
            <w:proofErr w:type="spellEnd"/>
            <w:r w:rsidRPr="004071A2">
              <w:rPr>
                <w:rFonts w:ascii="Arial" w:hAnsi="Arial" w:cs="Arial"/>
                <w:bCs/>
                <w:i/>
                <w:sz w:val="20"/>
                <w:szCs w:val="20"/>
              </w:rPr>
              <w:t>, 49(1). 71 – 75.</w:t>
            </w:r>
          </w:p>
        </w:tc>
        <w:tc>
          <w:tcPr>
            <w:tcW w:w="3877" w:type="dxa"/>
            <w:vAlign w:val="center"/>
          </w:tcPr>
          <w:p w:rsidR="004071A2" w:rsidRPr="004071A2" w:rsidRDefault="004071A2" w:rsidP="00FF5489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4071A2">
              <w:rPr>
                <w:rFonts w:ascii="Arial" w:hAnsi="Arial" w:cs="Arial"/>
                <w:i/>
                <w:sz w:val="20"/>
                <w:szCs w:val="20"/>
                <w:lang w:val="en-US"/>
              </w:rPr>
              <w:t>bes1,bes2,bes3,bes4,bes5</w:t>
            </w:r>
          </w:p>
        </w:tc>
      </w:tr>
      <w:tr w:rsidR="004071A2" w:rsidRPr="009013FE" w:rsidTr="00904DC0">
        <w:tc>
          <w:tcPr>
            <w:tcW w:w="2059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71A2">
              <w:rPr>
                <w:rFonts w:ascii="Arial" w:hAnsi="Arial" w:cs="Arial"/>
                <w:b/>
                <w:sz w:val="20"/>
                <w:szCs w:val="20"/>
              </w:rPr>
              <w:t>A sua saúde</w:t>
            </w:r>
          </w:p>
        </w:tc>
        <w:tc>
          <w:tcPr>
            <w:tcW w:w="771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71A2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127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71A2">
              <w:rPr>
                <w:rFonts w:ascii="Arial" w:hAnsi="Arial" w:cs="Arial"/>
                <w:sz w:val="20"/>
                <w:szCs w:val="20"/>
              </w:rPr>
              <w:t>1 a 4</w:t>
            </w:r>
          </w:p>
        </w:tc>
        <w:tc>
          <w:tcPr>
            <w:tcW w:w="1559" w:type="dxa"/>
            <w:shd w:val="clear" w:color="auto" w:fill="5B9BD5" w:themeFill="accent1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71A2">
              <w:rPr>
                <w:rFonts w:ascii="Arial" w:hAnsi="Arial" w:cs="Arial"/>
                <w:sz w:val="20"/>
                <w:szCs w:val="20"/>
              </w:rPr>
              <w:t>Saúde</w:t>
            </w:r>
            <w:bookmarkStart w:id="0" w:name="_GoBack"/>
            <w:bookmarkEnd w:id="0"/>
          </w:p>
        </w:tc>
        <w:tc>
          <w:tcPr>
            <w:tcW w:w="3827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4071A2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Ware, J. E., Davies-Avery, A. and Donald, C. A. (1978). </w:t>
            </w:r>
            <w:r w:rsidRPr="004071A2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Conceptualization and Measurement of Health for Adults in the Health Insurance Study: General Health Perceptions. </w:t>
            </w:r>
            <w:r w:rsidRPr="004071A2">
              <w:rPr>
                <w:rFonts w:ascii="Arial" w:hAnsi="Arial" w:cs="Arial"/>
                <w:i/>
                <w:sz w:val="20"/>
                <w:szCs w:val="20"/>
              </w:rPr>
              <w:t xml:space="preserve">Santa Monica, CA: </w:t>
            </w:r>
            <w:proofErr w:type="spellStart"/>
            <w:r w:rsidRPr="004071A2">
              <w:rPr>
                <w:rFonts w:ascii="Arial" w:hAnsi="Arial" w:cs="Arial"/>
                <w:i/>
                <w:sz w:val="20"/>
                <w:szCs w:val="20"/>
              </w:rPr>
              <w:t>Rand</w:t>
            </w:r>
            <w:proofErr w:type="spellEnd"/>
            <w:r w:rsidRPr="004071A2">
              <w:rPr>
                <w:rFonts w:ascii="Arial" w:hAnsi="Arial" w:cs="Arial"/>
                <w:i/>
                <w:sz w:val="20"/>
                <w:szCs w:val="20"/>
              </w:rPr>
              <w:t xml:space="preserve"> Corporation, 5.</w:t>
            </w:r>
          </w:p>
        </w:tc>
        <w:tc>
          <w:tcPr>
            <w:tcW w:w="3877" w:type="dxa"/>
            <w:vAlign w:val="center"/>
          </w:tcPr>
          <w:p w:rsidR="004071A2" w:rsidRPr="004071A2" w:rsidRDefault="004071A2" w:rsidP="009500B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4071A2">
              <w:rPr>
                <w:rFonts w:ascii="Arial" w:hAnsi="Arial" w:cs="Arial"/>
                <w:i/>
                <w:sz w:val="20"/>
                <w:szCs w:val="20"/>
                <w:lang w:val="en-US"/>
              </w:rPr>
              <w:t>saude1,saude2,saude3,saude4</w:t>
            </w:r>
          </w:p>
        </w:tc>
      </w:tr>
      <w:tr w:rsidR="004071A2" w:rsidRPr="004071A2" w:rsidTr="00474099">
        <w:tc>
          <w:tcPr>
            <w:tcW w:w="2059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071A2">
              <w:rPr>
                <w:rFonts w:ascii="Arial" w:hAnsi="Arial" w:cs="Arial"/>
                <w:b/>
                <w:sz w:val="20"/>
                <w:szCs w:val="20"/>
              </w:rPr>
              <w:t>Afirmações acerca da maneira como você pensa sobre si próprio</w:t>
            </w:r>
          </w:p>
        </w:tc>
        <w:tc>
          <w:tcPr>
            <w:tcW w:w="771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71A2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127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71A2">
              <w:rPr>
                <w:rFonts w:ascii="Arial" w:hAnsi="Arial" w:cs="Arial"/>
                <w:sz w:val="20"/>
                <w:szCs w:val="20"/>
              </w:rPr>
              <w:t>1 a 15</w:t>
            </w:r>
          </w:p>
        </w:tc>
        <w:tc>
          <w:tcPr>
            <w:tcW w:w="1559" w:type="dxa"/>
            <w:vAlign w:val="center"/>
          </w:tcPr>
          <w:p w:rsidR="004071A2" w:rsidRPr="004071A2" w:rsidRDefault="00A4320C" w:rsidP="004071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Auto</w:t>
            </w:r>
            <w:r w:rsidR="004071A2" w:rsidRPr="004071A2">
              <w:rPr>
                <w:rFonts w:ascii="Arial" w:hAnsi="Arial" w:cs="Arial"/>
                <w:sz w:val="20"/>
                <w:szCs w:val="20"/>
              </w:rPr>
              <w:t>eficácia</w:t>
            </w:r>
            <w:proofErr w:type="spellEnd"/>
          </w:p>
        </w:tc>
        <w:tc>
          <w:tcPr>
            <w:tcW w:w="3827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877" w:type="dxa"/>
            <w:vAlign w:val="center"/>
          </w:tcPr>
          <w:p w:rsidR="004071A2" w:rsidRPr="004071A2" w:rsidRDefault="004071A2" w:rsidP="004071A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4071A2">
              <w:rPr>
                <w:rFonts w:ascii="Arial" w:hAnsi="Arial" w:cs="Arial"/>
                <w:i/>
                <w:sz w:val="20"/>
                <w:szCs w:val="20"/>
              </w:rPr>
              <w:t>pensa1, pensa2, pensa4, pensa5, pensa6, pensa7, pensa8, pensa9, pensa10, pensa11, pensa12, pensa13, pensa14, pensa15</w:t>
            </w:r>
          </w:p>
        </w:tc>
      </w:tr>
    </w:tbl>
    <w:p w:rsidR="00C81AB4" w:rsidRDefault="00A4320C">
      <w:r w:rsidRPr="00D400C9">
        <w:rPr>
          <w:b/>
        </w:rPr>
        <w:t>Observações:</w:t>
      </w:r>
      <w:r>
        <w:t xml:space="preserve"> as CRT destacadas</w:t>
      </w:r>
      <w:r w:rsidR="00D400C9">
        <w:t xml:space="preserve"> em amarelo são as de interesse e as únicas envolvidas nas </w:t>
      </w:r>
      <w:proofErr w:type="spellStart"/>
      <w:r w:rsidR="00D400C9">
        <w:t>analises</w:t>
      </w:r>
      <w:proofErr w:type="spellEnd"/>
      <w:r w:rsidR="00D400C9">
        <w:t xml:space="preserve"> realizadas.</w:t>
      </w:r>
    </w:p>
    <w:sectPr w:rsidR="00C81AB4" w:rsidSect="004707D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2287"/>
    <w:multiLevelType w:val="hybridMultilevel"/>
    <w:tmpl w:val="B67C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41B8F"/>
    <w:multiLevelType w:val="hybridMultilevel"/>
    <w:tmpl w:val="CE0298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3072E"/>
    <w:multiLevelType w:val="hybridMultilevel"/>
    <w:tmpl w:val="BAB4308C"/>
    <w:lvl w:ilvl="0" w:tplc="415E36FE">
      <w:numFmt w:val="bullet"/>
      <w:lvlText w:val="•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D3"/>
    <w:rsid w:val="001D4917"/>
    <w:rsid w:val="00315DA6"/>
    <w:rsid w:val="003947F3"/>
    <w:rsid w:val="003F16B1"/>
    <w:rsid w:val="004071A2"/>
    <w:rsid w:val="004161D9"/>
    <w:rsid w:val="004707D3"/>
    <w:rsid w:val="00471BF4"/>
    <w:rsid w:val="00474099"/>
    <w:rsid w:val="004A683A"/>
    <w:rsid w:val="004E5629"/>
    <w:rsid w:val="00602E9B"/>
    <w:rsid w:val="0070738F"/>
    <w:rsid w:val="007112C4"/>
    <w:rsid w:val="00712CDD"/>
    <w:rsid w:val="007B3B6F"/>
    <w:rsid w:val="007E3585"/>
    <w:rsid w:val="009013FE"/>
    <w:rsid w:val="00904DC0"/>
    <w:rsid w:val="00930B3D"/>
    <w:rsid w:val="009500BE"/>
    <w:rsid w:val="009F203E"/>
    <w:rsid w:val="00A4320C"/>
    <w:rsid w:val="00C222BF"/>
    <w:rsid w:val="00C802AF"/>
    <w:rsid w:val="00D400C9"/>
    <w:rsid w:val="00DA1246"/>
    <w:rsid w:val="00EA6F7B"/>
    <w:rsid w:val="00FF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39DD7"/>
  <w15:docId w15:val="{0FEEAEB1-3502-49C5-9296-C095E065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7D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70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07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Costa</dc:creator>
  <cp:lastModifiedBy>Carlos Costa</cp:lastModifiedBy>
  <cp:revision>2</cp:revision>
  <cp:lastPrinted>2019-07-03T10:46:00Z</cp:lastPrinted>
  <dcterms:created xsi:type="dcterms:W3CDTF">2019-08-17T11:20:00Z</dcterms:created>
  <dcterms:modified xsi:type="dcterms:W3CDTF">2019-08-17T11:20:00Z</dcterms:modified>
</cp:coreProperties>
</file>