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30"/>
        </w:rPr>
        <w:t>NovisPay — Response re: CARIB-CLEAR Webhook Integration (Test Phase)</w:t>
      </w:r>
    </w:p>
    <w:p>
      <w:pPr>
        <w:spacing w:after="240"/>
      </w:pPr>
      <w:r>
        <w:rPr>
          <w:i/>
          <w:color w:val="666666"/>
          <w:sz w:val="18"/>
        </w:rPr>
        <w:t>Endpoint: caribclear-webhook  ·  Participant ID: novispay_001  ·  Date: 30 June 2026</w:t>
      </w:r>
    </w:p>
    <w:p>
      <w:pPr>
        <w:spacing w:after="160"/>
      </w:pPr>
      <w:r>
        <w:t>Hi team,</w:t>
      </w:r>
    </w:p>
    <w:p>
      <w:pPr>
        <w:spacing w:after="160"/>
      </w:pPr>
      <w:r>
        <w:t>Thanks for the test dispatch and the details. We've confirmed receipt on our side — your test POSTs all reached our endpoint and returned HTTP 200, and the events are landing in our settlements store. The transport layer is working.</w:t>
      </w:r>
    </w:p>
    <w:p>
      <w:pPr>
        <w:spacing w:after="160"/>
      </w:pPr>
      <w:r>
        <w:t>Before we can treat this as production-ready, though, we need a few things tightened up. On the current evidence the integration isn't there yet — the payload we received doesn't match the schema your email describes, idempotency isn't holding, and the signing scheme is still undefined. Details below.</w:t>
      </w:r>
    </w:p>
    <w:p>
      <w:pPr>
        <w:spacing w:before="200" w:after="80"/>
      </w:pPr>
      <w:r>
        <w:rPr>
          <w:b/>
          <w:sz w:val="28"/>
        </w:rPr>
        <w:t>1. Payload does not match the documented schema</w:t>
      </w:r>
    </w:p>
    <w:p>
      <w:pPr>
        <w:spacing w:after="160"/>
      </w:pPr>
      <w:r>
        <w:t>Your email states the test.ping body carries event_type and participant_id. The bodies we actually received contained only two fields:</w:t>
      </w:r>
    </w:p>
    <w:p>
      <w:pPr>
        <w:spacing w:after="120"/>
      </w:pPr>
      <w:r>
        <w:t xml:space="preserve">    { "message": "CARIB-CLEAR webhook test", "timestamp": 1782784553.54 }</w:t>
      </w:r>
    </w:p>
    <w:p>
      <w:pPr>
        <w:spacing w:after="160"/>
      </w:pPr>
      <w:r>
        <w:t>There was no event_type and no participant_id in any request — we checked every event received to date and neither field appears in the raw body. Our parser stored the full payload safely, but the promised fields simply weren't sent.</w:t>
      </w:r>
    </w:p>
    <w:p>
      <w:pPr>
        <w:pStyle w:val="ListBullet"/>
        <w:spacing w:after="60"/>
      </w:pPr>
      <w:r>
        <w:t>Please confirm the exact, final production payload shape — field names, types, and which fields are guaranteed present on every event.</w:t>
      </w:r>
    </w:p>
    <w:p>
      <w:pPr>
        <w:pStyle w:val="ListBullet"/>
        <w:spacing w:after="60"/>
      </w:pPr>
      <w:r>
        <w:t>If event_type and participant_id are meant to be top-level, they need to actually be emitted. We key our routing on them.</w:t>
      </w:r>
    </w:p>
    <w:p>
      <w:pPr>
        <w:spacing w:before="200" w:after="80"/>
      </w:pPr>
      <w:r>
        <w:rPr>
          <w:b/>
          <w:sz w:val="28"/>
        </w:rPr>
        <w:t>2. Idempotency / duplicate delivery</w:t>
      </w:r>
    </w:p>
    <w:p>
      <w:pPr>
        <w:spacing w:after="160"/>
      </w:pPr>
      <w:r>
        <w:t>Your second test ping was delivered to us twice, ~0.7 seconds apart, producing two identical records. We can de-duplicate, but only if each event carries a stable, unique identifier.</w:t>
      </w:r>
    </w:p>
    <w:p>
      <w:pPr>
        <w:pStyle w:val="ListBullet"/>
        <w:spacing w:after="60"/>
      </w:pPr>
      <w:r>
        <w:t>Please include a unique event/idempotency ID on every dispatch (e.g. event_id or settlement_id) that remains constant across retries.</w:t>
      </w:r>
    </w:p>
    <w:p>
      <w:pPr>
        <w:pStyle w:val="ListBullet"/>
        <w:spacing w:after="60"/>
      </w:pPr>
      <w:r>
        <w:t>Without it, retries are indistinguishable from genuine new events and will double-count settlements.</w:t>
      </w:r>
    </w:p>
    <w:p>
      <w:pPr>
        <w:spacing w:before="200" w:after="80"/>
      </w:pPr>
      <w:r>
        <w:rPr>
          <w:b/>
          <w:sz w:val="28"/>
        </w:rPr>
        <w:t>3. Signing / authentication scheme is still undefined</w:t>
      </w:r>
    </w:p>
    <w:p>
      <w:pPr>
        <w:spacing w:after="160"/>
      </w:pPr>
      <w:r>
        <w:t>We are intentionally running the endpoint open for the test phase only. We will not go live in that posture. We support either of the following and would prefer HMAC:</w:t>
      </w:r>
    </w:p>
    <w:p>
      <w:pPr>
        <w:pStyle w:val="ListBullet"/>
        <w:spacing w:after="60"/>
      </w:pPr>
      <w:r>
        <w:t>x-caribclear-signature: hex HMAC-SHA256 of the raw request body, using a shared secret (preferred), or</w:t>
      </w:r>
    </w:p>
    <w:p>
      <w:pPr>
        <w:pStyle w:val="ListBullet"/>
        <w:spacing w:after="60"/>
      </w:pPr>
      <w:r>
        <w:t>x-caribclear-secret: a simple shared-secret header.</w:t>
      </w:r>
    </w:p>
    <w:p>
      <w:pPr>
        <w:spacing w:after="160"/>
      </w:pPr>
      <w:r>
        <w:t>Please issue a shared secret and confirm which scheme you will use in production. Once we have it, we will enable enforcement and reject any unsigned or mis-signed request.</w:t>
      </w:r>
    </w:p>
    <w:p>
      <w:pPr>
        <w:spacing w:before="200" w:after="80"/>
      </w:pPr>
      <w:r>
        <w:rPr>
          <w:b/>
          <w:sz w:val="28"/>
        </w:rPr>
        <w:t>4. Event scope</w:t>
      </w:r>
    </w:p>
    <w:p>
      <w:pPr>
        <w:spacing w:after="160"/>
      </w:pPr>
      <w:r>
        <w:t>We are also receiving events that don't appear to be NovisPay settlement traffic — lender credit decisions, netting-cycle instructions, and "no available rail" errors among them. For the test phase that's harmless, but for production we need NovisPay scoped to the settlement events that actually concern participant novispay_001.</w:t>
      </w:r>
    </w:p>
    <w:p>
      <w:pPr>
        <w:pStyle w:val="ListBullet"/>
        <w:spacing w:after="60"/>
      </w:pPr>
      <w:r>
        <w:t>Please confirm whether those non-settlement events are intended for us, and scope our subscription to settlement events only before go-live.</w:t>
      </w:r>
    </w:p>
    <w:p>
      <w:pPr>
        <w:spacing w:before="200" w:after="80"/>
      </w:pPr>
      <w:r>
        <w:rPr>
          <w:b/>
          <w:sz w:val="28"/>
        </w:rPr>
        <w:t>What we need from you to progress</w:t>
      </w:r>
    </w:p>
    <w:p>
      <w:pPr>
        <w:pStyle w:val="ListBullet"/>
        <w:spacing w:after="60"/>
      </w:pPr>
      <w:r>
        <w:t>Final production payload schema (with event_type and participant_id actually populated).</w:t>
      </w:r>
    </w:p>
    <w:p>
      <w:pPr>
        <w:pStyle w:val="ListBullet"/>
        <w:spacing w:after="60"/>
      </w:pPr>
      <w:r>
        <w:t>A unique idempotency ID on every event, stable across retries.</w:t>
      </w:r>
    </w:p>
    <w:p>
      <w:pPr>
        <w:pStyle w:val="ListBullet"/>
        <w:spacing w:after="60"/>
      </w:pPr>
      <w:r>
        <w:t>A shared secret and confirmed signing scheme (HMAC preferred).</w:t>
      </w:r>
    </w:p>
    <w:p>
      <w:pPr>
        <w:pStyle w:val="ListBullet"/>
        <w:spacing w:after="60"/>
      </w:pPr>
      <w:r>
        <w:t>Subscription scoped to NovisPay settlement events.</w:t>
      </w:r>
    </w:p>
    <w:p>
      <w:pPr>
        <w:spacing w:after="200"/>
      </w:pPr>
      <w:r>
        <w:t>Once those four are in place we'll switch on signature enforcement, wire settlements through to the corresponding transactions, and run a joint end-to-end test before any production cutover.</w:t>
      </w:r>
    </w:p>
    <w:p>
      <w:pPr>
        <w:spacing w:after="160"/>
      </w:pPr>
      <w:r>
        <w:t>Best regards,</w:t>
      </w:r>
    </w:p>
    <w:p>
      <w:pPr>
        <w:spacing w:after="160"/>
      </w:pPr>
      <w:r>
        <w:t>Matthew Kisnajr</w:t>
      </w:r>
    </w:p>
    <w:p>
      <w:r>
        <w:rPr>
          <w:b/>
        </w:rPr>
        <w:t>NovisPay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