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rFonts w:ascii="Aptos" w:hAnsi="Aptos"/>
          <w:b/>
          <w:color w:val="17324D"/>
          <w:sz w:val="20"/>
        </w:rPr>
        <w:t>PROFESSOR CONSULTATION BRIEF</w:t>
      </w:r>
    </w:p>
    <w:p>
      <w:pPr>
        <w:pStyle w:val="Title"/>
      </w:pPr>
      <w:r>
        <w:t>SugboGo Module Overview and Expected Results</w:t>
      </w:r>
    </w:p>
    <w:p>
      <w:r>
        <w:rPr>
          <w:rFonts w:ascii="Aptos Display" w:hAnsi="Aptos Display"/>
          <w:color w:val="667085"/>
          <w:sz w:val="28"/>
        </w:rPr>
        <w:t>Reference sheet for the eight manuscript modules</w:t>
      </w:r>
    </w:p>
    <w:p>
      <w:r>
        <w:t>Current use. This handout explains the role and expected completed result of every module. It does not assign completion percentages.</w:t>
      </w:r>
    </w:p>
    <w:p>
      <w:r>
        <w:t>The manuscript lists eight modules. The classifications below distinguish research features from the functions that enable, operate, and govern them.</w:t>
      </w:r>
    </w:p>
    <w:p>
      <w:pPr>
        <w:pStyle w:val="Heading2"/>
      </w:pPr>
      <w:r>
        <w:t>Classification guide</w:t>
      </w:r>
    </w:p>
    <w:tbl>
      <w:tblPr>
        <w:tblW w:type="auto" w:w="0"/>
        <w:jc w:val="center"/>
        <w:tblLayout w:type="fixed"/>
        <w:tblLook w:firstColumn="1" w:firstRow="1" w:lastColumn="0" w:lastRow="0" w:noHBand="0" w:noVBand="1" w:val="04A0"/>
      </w:tblPr>
      <w:tblGrid>
        <w:gridCol w:w="4975"/>
        <w:gridCol w:w="4975"/>
      </w:tblGrid>
      <w:tr>
        <w:trPr>
          <w:tblHeader w:val="true"/>
        </w:trPr>
        <w:tc>
          <w:tcPr>
            <w:tcW w:type="dxa" w:w="2592"/>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Classification</w:t>
            </w:r>
          </w:p>
        </w:tc>
        <w:tc>
          <w:tcPr>
            <w:tcW w:type="dxa" w:w="7560"/>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Meaning</w:t>
            </w:r>
          </w:p>
        </w:tc>
      </w:tr>
      <w:tr>
        <w:trPr>
          <w:cantSplit/>
        </w:trPr>
        <w:tc>
          <w:tcPr>
            <w:tcW w:type="dxa" w:w="259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Core research module</w:t>
            </w:r>
          </w:p>
        </w:tc>
        <w:tc>
          <w:tcPr>
            <w:tcW w:type="dxa" w:w="756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Implements a differentiating research or user-facing claim and needs feature-specific evaluation.</w:t>
            </w:r>
          </w:p>
        </w:tc>
      </w:tr>
      <w:tr>
        <w:trPr>
          <w:cantSplit/>
        </w:trPr>
        <w:tc>
          <w:tcPr>
            <w:tcW w:type="dxa" w:w="259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Supporting module</w:t>
            </w:r>
          </w:p>
        </w:tc>
        <w:tc>
          <w:tcPr>
            <w:tcW w:type="dxa" w:w="756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Provides identity, persistence, or shared infrastructure required by core modules. Supporting does not mean optional.</w:t>
            </w:r>
          </w:p>
        </w:tc>
      </w:tr>
      <w:tr>
        <w:trPr>
          <w:cantSplit/>
        </w:trPr>
        <w:tc>
          <w:tcPr>
            <w:tcW w:type="dxa" w:w="259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Operational module</w:t>
            </w:r>
          </w:p>
        </w:tc>
        <w:tc>
          <w:tcPr>
            <w:tcW w:type="dxa" w:w="756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Lets merchants or administrators maintain, monitor, moderate, and govern the system.</w:t>
            </w:r>
          </w:p>
        </w:tc>
      </w:tr>
    </w:tbl>
    <w:p>
      <w:pPr>
        <w:spacing w:after="0"/>
      </w:pPr>
    </w:p>
    <w:p>
      <w:r>
        <w:rPr>
          <w:b/>
        </w:rPr>
        <w:t xml:space="preserve">Recommended terminology. </w:t>
      </w:r>
      <w:r>
        <w:t>Use supporting module instead of minor module. A supporting module can have a smaller demo role while remaining essential to the user journey.</w:t>
      </w:r>
    </w:p>
    <w:p>
      <w:r>
        <w:br w:type="page"/>
      </w:r>
    </w:p>
    <w:p>
      <w:pPr>
        <w:pStyle w:val="Heading1"/>
      </w:pPr>
      <w:r>
        <w:t>1. Foundation and admission modules</w:t>
      </w:r>
    </w:p>
    <w:tbl>
      <w:tblPr>
        <w:tblW w:type="auto" w:w="0"/>
        <w:jc w:val="center"/>
        <w:tblLayout w:type="fixed"/>
        <w:tblLook w:firstColumn="1" w:firstRow="1" w:lastColumn="0" w:lastRow="0" w:noHBand="0" w:noVBand="1" w:val="04A0"/>
      </w:tblPr>
      <w:tblGrid>
        <w:gridCol w:w="2488"/>
        <w:gridCol w:w="2488"/>
        <w:gridCol w:w="2488"/>
        <w:gridCol w:w="2488"/>
      </w:tblGrid>
      <w:tr>
        <w:trPr>
          <w:tblHeader w:val="true"/>
        </w:trPr>
        <w:tc>
          <w:tcPr>
            <w:tcW w:type="dxa" w:w="2232"/>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Module</w:t>
            </w:r>
          </w:p>
        </w:tc>
        <w:tc>
          <w:tcPr>
            <w:tcW w:type="dxa" w:w="1656"/>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Type</w:t>
            </w:r>
          </w:p>
        </w:tc>
        <w:tc>
          <w:tcPr>
            <w:tcW w:type="dxa" w:w="3096"/>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Overview</w:t>
            </w:r>
          </w:p>
        </w:tc>
        <w:tc>
          <w:tcPr>
            <w:tcW w:type="dxa" w:w="3168"/>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Expected result when complete</w:t>
            </w:r>
          </w:p>
        </w:tc>
      </w:tr>
      <w:tr>
        <w:trPr>
          <w:cantSplit/>
        </w:trPr>
        <w:tc>
          <w:tcPr>
            <w:tcW w:type="dxa" w:w="223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1 IAM</w:t>
              <w:br/>
              <w:t>Identity and Unified Access Management</w:t>
            </w:r>
          </w:p>
        </w:tc>
        <w:tc>
          <w:tcPr>
            <w:tcW w:type="dxa" w:w="165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Supporting</w:t>
            </w:r>
          </w:p>
        </w:tc>
        <w:tc>
          <w:tcPr>
            <w:tcW w:type="dxa" w:w="30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Registration, authentication, profiles, sessions, roles, access control, and Explorer or Merchant modes.</w:t>
            </w:r>
          </w:p>
        </w:tc>
        <w:tc>
          <w:tcPr>
            <w:tcW w:type="dxa" w:w="316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One secure identity per person; sessions restore and revoke correctly; access follows role; an approved merchant can enter Merchant Mode.</w:t>
            </w:r>
          </w:p>
        </w:tc>
      </w:tr>
      <w:tr>
        <w:trPr>
          <w:cantSplit/>
        </w:trPr>
        <w:tc>
          <w:tcPr>
            <w:tcW w:type="dxa" w:w="223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2 SAG</w:t>
              <w:br/>
              <w:t>Selective Admission Gate</w:t>
            </w:r>
          </w:p>
        </w:tc>
        <w:tc>
          <w:tcPr>
            <w:tcW w:type="dxa" w:w="165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Core research</w:t>
            </w:r>
          </w:p>
        </w:tc>
        <w:tc>
          <w:tcPr>
            <w:tcW w:type="dxa" w:w="30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MSME application and evaluation using identity, taxonomy, specialties, location, hours, photos, and documents.</w:t>
            </w:r>
          </w:p>
        </w:tc>
        <w:tc>
          <w:tcPr>
            <w:tcW w:type="dxa" w:w="316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A valid application moves through draft, submission, review, correction, and approval into exactly one active business. Rejected applications remain unpublished with history and feedback.</w:t>
            </w:r>
          </w:p>
        </w:tc>
      </w:tr>
    </w:tbl>
    <w:p>
      <w:pPr>
        <w:spacing w:after="0"/>
      </w:pPr>
    </w:p>
    <w:p>
      <w:r>
        <w:rPr>
          <w:b/>
        </w:rPr>
        <w:t xml:space="preserve">Prototype relationship. </w:t>
      </w:r>
      <w:r>
        <w:t>Prototype 1 uses IAM and SAG. A minimum AOEA review capability is required to approve or reject the SAG application.</w:t>
      </w:r>
    </w:p>
    <w:p>
      <w:r>
        <w:br w:type="page"/>
      </w:r>
    </w:p>
    <w:p>
      <w:pPr>
        <w:pStyle w:val="Heading1"/>
      </w:pPr>
      <w:r>
        <w:t>2. Discovery trust and navigation modules</w:t>
      </w:r>
    </w:p>
    <w:tbl>
      <w:tblPr>
        <w:tblW w:type="auto" w:w="0"/>
        <w:jc w:val="center"/>
        <w:tblLayout w:type="fixed"/>
        <w:tblLook w:firstColumn="1" w:firstRow="1" w:lastColumn="0" w:lastRow="0" w:noHBand="0" w:noVBand="1" w:val="04A0"/>
      </w:tblPr>
      <w:tblGrid>
        <w:gridCol w:w="2488"/>
        <w:gridCol w:w="2488"/>
        <w:gridCol w:w="2488"/>
        <w:gridCol w:w="2488"/>
      </w:tblGrid>
      <w:tr>
        <w:trPr>
          <w:tblHeader w:val="true"/>
        </w:trPr>
        <w:tc>
          <w:tcPr>
            <w:tcW w:type="dxa" w:w="2232"/>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Module</w:t>
            </w:r>
          </w:p>
        </w:tc>
        <w:tc>
          <w:tcPr>
            <w:tcW w:type="dxa" w:w="1656"/>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Type</w:t>
            </w:r>
          </w:p>
        </w:tc>
        <w:tc>
          <w:tcPr>
            <w:tcW w:type="dxa" w:w="3096"/>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Overview</w:t>
            </w:r>
          </w:p>
        </w:tc>
        <w:tc>
          <w:tcPr>
            <w:tcW w:type="dxa" w:w="3168"/>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Expected result when complete</w:t>
            </w:r>
          </w:p>
        </w:tc>
      </w:tr>
      <w:tr>
        <w:trPr>
          <w:cantSplit/>
        </w:trPr>
        <w:tc>
          <w:tcPr>
            <w:tcW w:type="dxa" w:w="223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3 Dynamic Discovery Engine</w:t>
            </w:r>
          </w:p>
        </w:tc>
        <w:tc>
          <w:tcPr>
            <w:tcW w:type="dxa" w:w="165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Core research</w:t>
            </w:r>
          </w:p>
        </w:tc>
        <w:tc>
          <w:tcPr>
            <w:tcW w:type="dxa" w:w="30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Ranks and presents active businesses using specialty evidence, visibility, filters, and separate personalized recommendation inputs.</w:t>
            </w:r>
          </w:p>
        </w:tc>
        <w:tc>
          <w:tcPr>
            <w:tcW w:type="dxa" w:w="316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Results are explainable and reproducible; visibility and relevance claims pass evaluation on a controlled dataset.</w:t>
            </w:r>
          </w:p>
        </w:tc>
      </w:tr>
      <w:tr>
        <w:trPr>
          <w:cantSplit/>
        </w:trPr>
        <w:tc>
          <w:tcPr>
            <w:tcW w:type="dxa" w:w="223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4 Contextual Navigation and Transit Guidance</w:t>
            </w:r>
          </w:p>
        </w:tc>
        <w:tc>
          <w:tcPr>
            <w:tcW w:type="dxa" w:w="165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Core research</w:t>
            </w:r>
          </w:p>
        </w:tc>
        <w:tc>
          <w:tcPr>
            <w:tcW w:type="dxa" w:w="30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Connects destinations to jeepney routes, boarding and alighting points, landmarks, maps, and selected road guidance.</w:t>
            </w:r>
          </w:p>
        </w:tc>
        <w:tc>
          <w:tcPr>
            <w:tcW w:type="dxa" w:w="316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Supported journeys provide correct understandable steps; unsupported journeys return no match; any claimed transfer or offline behavior passes validation.</w:t>
            </w:r>
          </w:p>
        </w:tc>
      </w:tr>
      <w:tr>
        <w:trPr>
          <w:cantSplit/>
        </w:trPr>
        <w:tc>
          <w:tcPr>
            <w:tcW w:type="dxa" w:w="223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5 Review Reliability and Sentiment Moderation</w:t>
            </w:r>
          </w:p>
        </w:tc>
        <w:tc>
          <w:tcPr>
            <w:tcW w:type="dxa" w:w="165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Core research</w:t>
            </w:r>
          </w:p>
        </w:tc>
        <w:tc>
          <w:tcPr>
            <w:tcW w:type="dxa" w:w="30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Reviews, trust interactions, moderation workflows, sentiment distribution, and frequent themes.</w:t>
            </w:r>
          </w:p>
        </w:tc>
        <w:tc>
          <w:tcPr>
            <w:tcW w:type="dxa" w:w="316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Review rules remain traceable. Automated insights meet approved language and semantic-quality thresholds or show unsupported/manual states.</w:t>
            </w:r>
          </w:p>
        </w:tc>
      </w:tr>
    </w:tbl>
    <w:p>
      <w:pPr>
        <w:spacing w:after="0"/>
      </w:pPr>
    </w:p>
    <w:p>
      <w:r>
        <w:rPr>
          <w:b/>
        </w:rPr>
        <w:t xml:space="preserve">Prototype relationship. </w:t>
      </w:r>
      <w:r>
        <w:t>P1 establishes baseline Discovery publication. P2 demonstrates selected Review and Navigation behavior. Final research claims require measured evaluation.</w:t>
      </w:r>
    </w:p>
    <w:p>
      <w:r>
        <w:br w:type="page"/>
      </w:r>
    </w:p>
    <w:p>
      <w:pPr>
        <w:pStyle w:val="Heading1"/>
      </w:pPr>
      <w:r>
        <w:t>3. Persistence operations and governance modules</w:t>
      </w:r>
    </w:p>
    <w:tbl>
      <w:tblPr>
        <w:tblW w:type="auto" w:w="0"/>
        <w:jc w:val="center"/>
        <w:tblLayout w:type="fixed"/>
        <w:tblLook w:firstColumn="1" w:firstRow="1" w:lastColumn="0" w:lastRow="0" w:noHBand="0" w:noVBand="1" w:val="04A0"/>
      </w:tblPr>
      <w:tblGrid>
        <w:gridCol w:w="2488"/>
        <w:gridCol w:w="2488"/>
        <w:gridCol w:w="2488"/>
        <w:gridCol w:w="2488"/>
      </w:tblGrid>
      <w:tr>
        <w:trPr>
          <w:tblHeader w:val="true"/>
        </w:trPr>
        <w:tc>
          <w:tcPr>
            <w:tcW w:type="dxa" w:w="2232"/>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Module</w:t>
            </w:r>
          </w:p>
        </w:tc>
        <w:tc>
          <w:tcPr>
            <w:tcW w:type="dxa" w:w="1656"/>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Type</w:t>
            </w:r>
          </w:p>
        </w:tc>
        <w:tc>
          <w:tcPr>
            <w:tcW w:type="dxa" w:w="3096"/>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Overview</w:t>
            </w:r>
          </w:p>
        </w:tc>
        <w:tc>
          <w:tcPr>
            <w:tcW w:type="dxa" w:w="3168"/>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Expected result when complete</w:t>
            </w:r>
          </w:p>
        </w:tc>
      </w:tr>
      <w:tr>
        <w:trPr>
          <w:cantSplit/>
        </w:trPr>
        <w:tc>
          <w:tcPr>
            <w:tcW w:type="dxa" w:w="223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6 CPAL</w:t>
              <w:br/>
              <w:t>Contextual Persistence and Activity Ledger</w:t>
            </w:r>
          </w:p>
        </w:tc>
        <w:tc>
          <w:tcPr>
            <w:tcW w:type="dxa" w:w="165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Supporting</w:t>
            </w:r>
          </w:p>
        </w:tc>
        <w:tc>
          <w:tcPr>
            <w:tcW w:type="dxa" w:w="30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Saved businesses or routes, approved offline data, and activity records used for continuity and analytics.</w:t>
            </w:r>
          </w:p>
        </w:tc>
        <w:tc>
          <w:tcPr>
            <w:tcW w:type="dxa" w:w="316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Declared saved and offline content reopens with clear freshness and synchronization; activity records stay consistent and auditable.</w:t>
            </w:r>
          </w:p>
        </w:tc>
      </w:tr>
      <w:tr>
        <w:trPr>
          <w:cantSplit/>
        </w:trPr>
        <w:tc>
          <w:tcPr>
            <w:tcW w:type="dxa" w:w="223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7 MOAD</w:t>
              <w:br/>
              <w:t>Merchant Operations and Analytics Dashboard</w:t>
            </w:r>
          </w:p>
        </w:tc>
        <w:tc>
          <w:tcPr>
            <w:tcW w:type="dxa" w:w="165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Operational</w:t>
            </w:r>
          </w:p>
        </w:tc>
        <w:tc>
          <w:tcPr>
            <w:tcW w:type="dxa" w:w="30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Business content, review response or disputes, and merchant discovery or performance information.</w:t>
            </w:r>
          </w:p>
        </w:tc>
        <w:tc>
          <w:tcPr>
            <w:tcW w:type="dxa" w:w="316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Merchants maintain approved businesses and act on accurate feedback and analytics that reconcile with authoritative data.</w:t>
            </w:r>
          </w:p>
        </w:tc>
      </w:tr>
      <w:tr>
        <w:trPr>
          <w:cantSplit/>
        </w:trPr>
        <w:tc>
          <w:tcPr>
            <w:tcW w:type="dxa" w:w="223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8 AOEA</w:t>
              <w:br/>
              <w:t>Administrative Oversight and Ecosystem Analytics</w:t>
            </w:r>
          </w:p>
        </w:tc>
        <w:tc>
          <w:tcPr>
            <w:tcW w:type="dxa" w:w="165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Operational and governance</w:t>
            </w:r>
          </w:p>
        </w:tc>
        <w:tc>
          <w:tcPr>
            <w:tcW w:type="dxa" w:w="30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Merchant lifecycle, taxonomy and transit maintenance, moderation, roles, settings, audits, and platform analytics.</w:t>
            </w:r>
          </w:p>
        </w:tc>
        <w:tc>
          <w:tcPr>
            <w:tcW w:type="dxa" w:w="316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Authorized administrators perform auditable governance actions and see analytics that reconcile with underlying records.</w:t>
            </w:r>
          </w:p>
        </w:tc>
      </w:tr>
    </w:tbl>
    <w:p>
      <w:pPr>
        <w:spacing w:after="0"/>
      </w:pPr>
    </w:p>
    <w:p>
      <w:r>
        <w:rPr>
          <w:b/>
        </w:rPr>
        <w:t xml:space="preserve">Prototype relationship. </w:t>
      </w:r>
      <w:r>
        <w:t>P1 uses only the AOEA approval slice. P2 depends on CPAL concepts but does not demonstrate SQLite offline routes. Full CPAL, MOAD, and AOEA outcomes remain for the final operational prototype unless the professor changes the sequence.</w:t>
      </w:r>
    </w:p>
    <w:p>
      <w:r>
        <w:br w:type="page"/>
      </w:r>
    </w:p>
    <w:p>
      <w:pPr>
        <w:pStyle w:val="Heading1"/>
      </w:pPr>
      <w:r>
        <w:t>4. Consultation summary</w:t>
      </w:r>
    </w:p>
    <w:tbl>
      <w:tblPr>
        <w:tblW w:type="auto" w:w="0"/>
        <w:jc w:val="center"/>
        <w:tblLayout w:type="fixed"/>
        <w:tblLook w:firstColumn="1" w:firstRow="1" w:lastColumn="0" w:lastRow="0" w:noHBand="0" w:noVBand="1" w:val="04A0"/>
      </w:tblPr>
      <w:tblGrid>
        <w:gridCol w:w="2488"/>
        <w:gridCol w:w="2488"/>
        <w:gridCol w:w="2488"/>
        <w:gridCol w:w="2488"/>
      </w:tblGrid>
      <w:tr>
        <w:trPr>
          <w:tblHeader w:val="true"/>
        </w:trPr>
        <w:tc>
          <w:tcPr>
            <w:tcW w:type="dxa" w:w="2088"/>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Module</w:t>
            </w:r>
          </w:p>
        </w:tc>
        <w:tc>
          <w:tcPr>
            <w:tcW w:type="dxa" w:w="1440"/>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Type</w:t>
            </w:r>
          </w:p>
        </w:tc>
        <w:tc>
          <w:tcPr>
            <w:tcW w:type="dxa" w:w="3528"/>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Placement</w:t>
            </w:r>
          </w:p>
        </w:tc>
        <w:tc>
          <w:tcPr>
            <w:tcW w:type="dxa" w:w="3096"/>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Main acceptance evidence</w:t>
            </w:r>
          </w:p>
        </w:tc>
      </w:tr>
      <w:tr>
        <w:trPr>
          <w:cantSplit/>
        </w:trPr>
        <w:tc>
          <w:tcPr>
            <w:tcW w:type="dxa" w:w="208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IAM</w:t>
            </w:r>
          </w:p>
        </w:tc>
        <w:tc>
          <w:tcPr>
            <w:tcW w:type="dxa" w:w="144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Supporting</w:t>
            </w:r>
          </w:p>
        </w:tc>
        <w:tc>
          <w:tcPr>
            <w:tcW w:type="dxa" w:w="352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P1</w:t>
            </w:r>
          </w:p>
        </w:tc>
        <w:tc>
          <w:tcPr>
            <w:tcW w:type="dxa" w:w="30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Role/session matrix and mode transition</w:t>
            </w:r>
          </w:p>
        </w:tc>
      </w:tr>
      <w:tr>
        <w:trPr>
          <w:cantSplit/>
        </w:trPr>
        <w:tc>
          <w:tcPr>
            <w:tcW w:type="dxa" w:w="208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SAG</w:t>
            </w:r>
          </w:p>
        </w:tc>
        <w:tc>
          <w:tcPr>
            <w:tcW w:type="dxa" w:w="144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Core</w:t>
            </w:r>
          </w:p>
        </w:tc>
        <w:tc>
          <w:tcPr>
            <w:tcW w:type="dxa" w:w="352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P1</w:t>
            </w:r>
          </w:p>
        </w:tc>
        <w:tc>
          <w:tcPr>
            <w:tcW w:type="dxa" w:w="30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Application lifecycle and publication</w:t>
            </w:r>
          </w:p>
        </w:tc>
      </w:tr>
      <w:tr>
        <w:trPr>
          <w:cantSplit/>
        </w:trPr>
        <w:tc>
          <w:tcPr>
            <w:tcW w:type="dxa" w:w="208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Dynamic Discovery</w:t>
            </w:r>
          </w:p>
        </w:tc>
        <w:tc>
          <w:tcPr>
            <w:tcW w:type="dxa" w:w="144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Core</w:t>
            </w:r>
          </w:p>
        </w:tc>
        <w:tc>
          <w:tcPr>
            <w:tcW w:type="dxa" w:w="352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P1 baseline; P2 evaluation</w:t>
            </w:r>
          </w:p>
        </w:tc>
        <w:tc>
          <w:tcPr>
            <w:tcW w:type="dxa" w:w="30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Worked ranking, exposure, and relevance evidence</w:t>
            </w:r>
          </w:p>
        </w:tc>
      </w:tr>
      <w:tr>
        <w:trPr>
          <w:cantSplit/>
        </w:trPr>
        <w:tc>
          <w:tcPr>
            <w:tcW w:type="dxa" w:w="208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Navigation</w:t>
            </w:r>
          </w:p>
        </w:tc>
        <w:tc>
          <w:tcPr>
            <w:tcW w:type="dxa" w:w="144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Core</w:t>
            </w:r>
          </w:p>
        </w:tc>
        <w:tc>
          <w:tcPr>
            <w:tcW w:type="dxa" w:w="352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P2 selected behavior; later completion</w:t>
            </w:r>
          </w:p>
        </w:tc>
        <w:tc>
          <w:tcPr>
            <w:tcW w:type="dxa" w:w="30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Validated journeys and transfer/offline decision</w:t>
            </w:r>
          </w:p>
        </w:tc>
      </w:tr>
      <w:tr>
        <w:trPr>
          <w:cantSplit/>
        </w:trPr>
        <w:tc>
          <w:tcPr>
            <w:tcW w:type="dxa" w:w="208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Review Reliability and Sentiment</w:t>
            </w:r>
          </w:p>
        </w:tc>
        <w:tc>
          <w:tcPr>
            <w:tcW w:type="dxa" w:w="144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Core</w:t>
            </w:r>
          </w:p>
        </w:tc>
        <w:tc>
          <w:tcPr>
            <w:tcW w:type="dxa" w:w="352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P2 selected behavior; later validation</w:t>
            </w:r>
          </w:p>
        </w:tc>
        <w:tc>
          <w:tcPr>
            <w:tcW w:type="dxa" w:w="30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Review rules, language tests, keyword correctness</w:t>
            </w:r>
          </w:p>
        </w:tc>
      </w:tr>
      <w:tr>
        <w:trPr>
          <w:cantSplit/>
        </w:trPr>
        <w:tc>
          <w:tcPr>
            <w:tcW w:type="dxa" w:w="208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CPAL</w:t>
            </w:r>
          </w:p>
        </w:tc>
        <w:tc>
          <w:tcPr>
            <w:tcW w:type="dxa" w:w="144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Supporting</w:t>
            </w:r>
          </w:p>
        </w:tc>
        <w:tc>
          <w:tcPr>
            <w:tcW w:type="dxa" w:w="352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P2 dependency; P3 completion</w:t>
            </w:r>
          </w:p>
        </w:tc>
        <w:tc>
          <w:tcPr>
            <w:tcW w:type="dxa" w:w="30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Saved/offline retrieval and activity consistency</w:t>
            </w:r>
          </w:p>
        </w:tc>
      </w:tr>
      <w:tr>
        <w:trPr>
          <w:cantSplit/>
        </w:trPr>
        <w:tc>
          <w:tcPr>
            <w:tcW w:type="dxa" w:w="208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MOAD</w:t>
            </w:r>
          </w:p>
        </w:tc>
        <w:tc>
          <w:tcPr>
            <w:tcW w:type="dxa" w:w="144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Operational</w:t>
            </w:r>
          </w:p>
        </w:tc>
        <w:tc>
          <w:tcPr>
            <w:tcW w:type="dxa" w:w="352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P3</w:t>
            </w:r>
          </w:p>
        </w:tc>
        <w:tc>
          <w:tcPr>
            <w:tcW w:type="dxa" w:w="30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Merchant management and reconciled analytics</w:t>
            </w:r>
          </w:p>
        </w:tc>
      </w:tr>
      <w:tr>
        <w:trPr>
          <w:cantSplit/>
        </w:trPr>
        <w:tc>
          <w:tcPr>
            <w:tcW w:type="dxa" w:w="208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AOEA</w:t>
            </w:r>
          </w:p>
        </w:tc>
        <w:tc>
          <w:tcPr>
            <w:tcW w:type="dxa" w:w="144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Operational</w:t>
            </w:r>
          </w:p>
        </w:tc>
        <w:tc>
          <w:tcPr>
            <w:tcW w:type="dxa" w:w="352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P1 approval slice; P3 completion</w:t>
            </w:r>
          </w:p>
        </w:tc>
        <w:tc>
          <w:tcPr>
            <w:tcW w:type="dxa" w:w="30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Auditable governance and analytics</w:t>
            </w:r>
          </w:p>
        </w:tc>
      </w:tr>
    </w:tbl>
    <w:p>
      <w:pPr>
        <w:spacing w:after="0"/>
      </w:pPr>
    </w:p>
    <w:p>
      <w:r>
        <w:rPr>
          <w:b/>
        </w:rPr>
        <w:t xml:space="preserve">Percentage rule. </w:t>
      </w:r>
      <w:r>
        <w:t>Module count is not project percentage because modules differ in scope, risk, dependencies, and evaluation effort. The team currently uses 50% as its P1 assessment. Additional percentage should follow accepted evidence and the professor’s approved weighting method.</w:t>
      </w:r>
    </w:p>
    <w:sectPr w:rsidR="00FC693F" w:rsidRPr="0006063C" w:rsidSect="00034616">
      <w:footerReference w:type="default" r:id="rId9"/>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 xml:space="preserve">SugboGo Module Reference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80"/>
      <w:ind w:left="317" w:hanging="317"/>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SugboGo Module Overview and Expected Results</dc:title>
  <dc:subject/>
  <dc:creator>SugboGo Capstone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