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rFonts w:ascii="Aptos" w:hAnsi="Aptos"/>
          <w:b/>
          <w:color w:val="17324D"/>
          <w:sz w:val="20"/>
        </w:rPr>
        <w:t>PROFESSOR CONSULTATION BRIEF</w:t>
      </w:r>
    </w:p>
    <w:p>
      <w:pPr>
        <w:pStyle w:val="Title"/>
      </w:pPr>
      <w:r>
        <w:t>SugboGo Prototype 2 Demo and Consultation Brief</w:t>
      </w:r>
    </w:p>
    <w:p>
      <w:r>
        <w:rPr>
          <w:rFonts w:ascii="Aptos Display" w:hAnsi="Aptos Display"/>
          <w:color w:val="667085"/>
          <w:sz w:val="28"/>
        </w:rPr>
        <w:t>Existing review insights and limited online routing</w:t>
      </w:r>
    </w:p>
    <w:p>
      <w:r>
        <w:rPr>
          <w:b/>
        </w:rPr>
        <w:t xml:space="preserve">Current status. </w:t>
      </w:r>
      <w:r>
        <w:t>The team assesses Prototype 1 as 50% of the project. Prototype 2 is not complete, and no additional cumulative percentage has been earned or assigned. Its evidence will be discussed with the professor before a percentage is recorded.</w:t>
      </w:r>
    </w:p>
    <w:p>
      <w:r>
        <w:t>This brief limits the demonstration to repository features that can be shown now: review interactions, stored sentiment and frequent mentions, selected zero-transfer jeepney journeys, and online road guidance. Known failures and unsupported cases form part of the evidence.</w:t>
      </w:r>
    </w:p>
    <w:p>
      <w:pPr>
        <w:pStyle w:val="Heading1"/>
      </w:pPr>
      <w:r>
        <w:t>1. Modules and expected results</w:t>
      </w:r>
    </w:p>
    <w:tbl>
      <w:tblPr>
        <w:tblW w:type="auto" w:w="0"/>
        <w:jc w:val="center"/>
        <w:tblLayout w:type="fixed"/>
        <w:tblLook w:firstColumn="1" w:firstRow="1" w:lastColumn="0" w:lastRow="0" w:noHBand="0" w:noVBand="1" w:val="04A0"/>
      </w:tblPr>
      <w:tblGrid>
        <w:gridCol w:w="3317"/>
        <w:gridCol w:w="3317"/>
        <w:gridCol w:w="3317"/>
      </w:tblGrid>
      <w:tr>
        <w:trPr>
          <w:tblHeader w:val="true"/>
        </w:trPr>
        <w:tc>
          <w:tcPr>
            <w:tcW w:type="dxa" w:w="2376"/>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Module</w:t>
            </w:r>
          </w:p>
        </w:tc>
        <w:tc>
          <w:tcPr>
            <w:tcW w:type="dxa" w:w="3672"/>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Demonstrable scope</w:t>
            </w:r>
          </w:p>
        </w:tc>
        <w:tc>
          <w:tcPr>
            <w:tcW w:type="dxa" w:w="3960"/>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Expected result</w:t>
            </w:r>
          </w:p>
        </w:tc>
      </w:tr>
      <w:tr>
        <w:trPr>
          <w:cantSplit/>
        </w:trPr>
        <w:tc>
          <w:tcPr>
            <w:tcW w:type="dxa" w:w="237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Module 5 Review Reliability and Sentiment Moderation</w:t>
            </w:r>
          </w:p>
        </w:tc>
        <w:tc>
          <w:tcPr>
            <w:tcW w:type="dxa" w:w="367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Review submission and display, available interactions, stored sentiment distribution, and frequent mentions.</w:t>
            </w:r>
          </w:p>
        </w:tc>
        <w:tc>
          <w:tcPr>
            <w:tcW w:type="dxa" w:w="396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A valid review persists. Stored insight values can be checked against eligible source reviews, including incorrect or unavailable results.</w:t>
            </w:r>
          </w:p>
        </w:tc>
      </w:tr>
      <w:tr>
        <w:trPr>
          <w:cantSplit/>
        </w:trPr>
        <w:tc>
          <w:tcPr>
            <w:tcW w:type="dxa" w:w="237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Module 4 Contextual Navigation and Transit Guidance</w:t>
            </w:r>
          </w:p>
        </w:tc>
        <w:tc>
          <w:tcPr>
            <w:tcW w:type="dxa" w:w="367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Selected zero-transfer jeepney journeys, boarding and alighting context, journey map, and separate online driving guidance.</w:t>
            </w:r>
          </w:p>
        </w:tc>
        <w:tc>
          <w:tcPr>
            <w:tcW w:type="dxa" w:w="396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A prepared origin and destination produce an understandable supported journey or an accurate no-match state.</w:t>
            </w:r>
          </w:p>
        </w:tc>
      </w:tr>
      <w:tr>
        <w:trPr>
          <w:cantSplit/>
        </w:trPr>
        <w:tc>
          <w:tcPr>
            <w:tcW w:type="dxa" w:w="237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Prototype 1 foundation</w:t>
            </w:r>
          </w:p>
        </w:tc>
        <w:tc>
          <w:tcPr>
            <w:tcW w:type="dxa" w:w="367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Authentication, active business profiles, and discovery access.</w:t>
            </w:r>
          </w:p>
        </w:tc>
        <w:tc>
          <w:tcPr>
            <w:tcW w:type="dxa" w:w="396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7"/>
              </w:rPr>
              <w:t>The user reaches a real approved business and continues into a P2 task.</w:t>
            </w:r>
          </w:p>
        </w:tc>
      </w:tr>
    </w:tbl>
    <w:p>
      <w:pPr>
        <w:spacing w:after="0"/>
      </w:pPr>
    </w:p>
    <w:p>
      <w:pPr>
        <w:pStyle w:val="Heading2"/>
      </w:pPr>
      <w:r>
        <w:t>Scope boundary</w:t>
      </w:r>
    </w:p>
    <w:p>
      <w:r>
        <w:t>The demonstration does not claim reliable Cebuano sentiment, reliable keyword meaning, multi-transfer planning, full route coverage, live jeepney tracking, or offline route access. SQLite offline persistence was not evidenced in the mobile repository.</w:t>
      </w:r>
    </w:p>
    <w:p>
      <w:r>
        <w:br w:type="page"/>
      </w:r>
    </w:p>
    <w:p>
      <w:pPr>
        <w:pStyle w:val="Heading1"/>
      </w:pPr>
      <w:r>
        <w:t>2. Review demonstration and limits</w:t>
      </w:r>
    </w:p>
    <w:p>
      <w:pPr>
        <w:pStyle w:val="Heading2"/>
      </w:pPr>
      <w:r>
        <w:t>Demo checks</w:t>
      </w:r>
    </w:p>
    <w:p>
      <w:pPr>
        <w:pStyle w:val="Checklist"/>
      </w:pPr>
      <w:r>
        <w:t>[ ] Record the build, business ID, account role, and prepared review dataset.</w:t>
      </w:r>
    </w:p>
    <w:p>
      <w:pPr>
        <w:pStyle w:val="Checklist"/>
      </w:pPr>
      <w:r>
        <w:t>[ ] Open existing reviews, submit a valid review, refresh, and show the actual eligibility and input-validation behavior.</w:t>
      </w:r>
    </w:p>
    <w:p>
      <w:pPr>
        <w:pStyle w:val="Checklist"/>
      </w:pPr>
      <w:r>
        <w:t>[ ] Demonstrate a like, report, merchant reply, or dispute only if its full state change has been rehearsed.</w:t>
      </w:r>
    </w:p>
    <w:p>
      <w:pPr>
        <w:pStyle w:val="Checklist"/>
      </w:pPr>
      <w:r>
        <w:t>[ ] Compare Visitor Vibe sentiment totals and percentages with eligible source reviews; record exclusions.</w:t>
      </w:r>
    </w:p>
    <w:p>
      <w:pPr>
        <w:pStyle w:val="Checklist"/>
      </w:pPr>
      <w:r>
        <w:t>[ ] Compare every displayed frequent mention with its cited reviews. A tag requires two distinct supporting reviews and the service permits at most 20 tags.</w:t>
      </w:r>
    </w:p>
    <w:p>
      <w:pPr>
        <w:pStyle w:val="Checklist"/>
      </w:pPr>
      <w:r>
        <w:t>[ ] Show summary freshness and explain that profile reads use stored results.</w:t>
      </w:r>
    </w:p>
    <w:p>
      <w:pPr>
        <w:pStyle w:val="Checklist"/>
      </w:pPr>
      <w:r>
        <w:t>[ ] Show an empty, unavailable, or failed insight state without treating missing data as neutral or positive.</w:t>
      </w:r>
    </w:p>
    <w:p>
      <w:pPr>
        <w:pStyle w:val="Heading2"/>
      </w:pPr>
      <w:r>
        <w:t>Current issues</w:t>
      </w:r>
    </w:p>
    <w:p>
      <w:r>
        <w:rPr>
          <w:b/>
        </w:rPr>
        <w:t xml:space="preserve">Keyword reliability. </w:t>
      </w:r>
      <w:r>
        <w:t>The team has observed unreliable frequent mentions. Gemini may omit phrases, merge different meanings, lose negation, or vary between runs. The repository verifies response shape, review IDs, and counts, but cannot prove that the phrase correctly interprets the cited reviews.</w:t>
      </w:r>
    </w:p>
    <w:p>
      <w:r>
        <w:rPr>
          <w:b/>
        </w:rPr>
        <w:t xml:space="preserve">Cebuano sentiment. </w:t>
      </w:r>
      <w:r>
        <w:t>fastText routes confident English to VADER. All other languages and low-confidence detections go to a Tagalog RoBERTa model. The repository has no dedicated Cebuano sentiment path, so a returned label is not validated Cebuano support.</w:t>
      </w:r>
    </w:p>
    <w:p>
      <w:r>
        <w:rPr>
          <w:b/>
        </w:rPr>
        <w:t xml:space="preserve">Tagalog and mixed-language sentiment. </w:t>
      </w:r>
      <w:r>
        <w:t>The code documents a strongly negative Tagalog sentence classified as positive. Negation, sarcasm, short reviews, and mixed languages need a labeled evaluation set. The 0.80 confidence threshold is a routing rule, not an accuracy score.</w:t>
      </w:r>
    </w:p>
    <w:p>
      <w:r>
        <w:rPr>
          <w:b/>
        </w:rPr>
        <w:t xml:space="preserve">Separate AI functions. </w:t>
      </w:r>
      <w:r>
        <w:t>Gemini is prompted to interpret English, Cebuano, and Filipino keywords, but the prompt does not prove dependable Cebuano extraction. The team should show observed failures instead of making an unmeasured provider claim.</w:t>
      </w:r>
    </w:p>
    <w:p>
      <w:r>
        <w:br w:type="page"/>
      </w:r>
    </w:p>
    <w:p>
      <w:pPr>
        <w:pStyle w:val="Heading1"/>
      </w:pPr>
      <w:r>
        <w:t>3. Routing demonstration and limits</w:t>
      </w:r>
    </w:p>
    <w:p>
      <w:pPr>
        <w:pStyle w:val="Heading2"/>
      </w:pPr>
      <w:r>
        <w:t>Demo checks</w:t>
      </w:r>
    </w:p>
    <w:p>
      <w:pPr>
        <w:pStyle w:val="Checklist"/>
      </w:pPr>
      <w:r>
        <w:t>[ ] Prepare one confirmed direct-route origin and active destination with valid coordinates.</w:t>
      </w:r>
    </w:p>
    <w:p>
      <w:pPr>
        <w:pStyle w:val="Checklist"/>
      </w:pPr>
      <w:r>
        <w:t>[ ] Verify the manual or device origin used by the request.</w:t>
      </w:r>
    </w:p>
    <w:p>
      <w:pPr>
        <w:pStyle w:val="Checklist"/>
      </w:pPr>
      <w:r>
        <w:t>[ ] Verify route code, direction, boarding point, and alighting point against prepared transit records.</w:t>
      </w:r>
    </w:p>
    <w:p>
      <w:pPr>
        <w:pStyle w:val="Checklist"/>
      </w:pPr>
      <w:r>
        <w:t>[ ] Compare the journey map and landmarks with the stored route variant.</w:t>
      </w:r>
    </w:p>
    <w:p>
      <w:pPr>
        <w:pStyle w:val="Checklist"/>
      </w:pPr>
      <w:r>
        <w:t>[ ] Show an unsupported pair and its no-nearby-point or no-direct-route result.</w:t>
      </w:r>
    </w:p>
    <w:p>
      <w:pPr>
        <w:pStyle w:val="Checklist"/>
      </w:pPr>
      <w:r>
        <w:t>[ ] Optionally show Google road guidance and label it as driving guidance.</w:t>
      </w:r>
    </w:p>
    <w:p>
      <w:pPr>
        <w:pStyle w:val="Checklist"/>
      </w:pPr>
      <w:r>
        <w:t>[ ] Show the observed response to denied location permission, network loss, or external route-service failure.</w:t>
      </w:r>
    </w:p>
    <w:p>
      <w:pPr>
        <w:pStyle w:val="Heading2"/>
      </w:pPr>
      <w:r>
        <w:t>Limits to state</w:t>
      </w:r>
    </w:p>
    <w:p>
      <w:r>
        <w:t>The current search finds zero-transfer routes. Transfer records do not establish a complete passenger-facing transfer planner. Results depend on the accuracy and coverage of managed route variants and transit points.</w:t>
      </w:r>
    </w:p>
    <w:p>
      <w:r>
        <w:t>Google Routes supplies separate online driving guidance. It does not validate the jeepney network. No live vehicle tracking, guaranteed arrival time, traffic-aware public-transit plan, or offline retrieval is demonstrated.</w:t>
      </w:r>
    </w:p>
    <w:p>
      <w:r>
        <w:t>A successful map render proves display behavior, not geographic or operational correctness. An approved source or qualified reviewer must validate routes and landmarks.</w:t>
      </w:r>
    </w:p>
    <w:p>
      <w:r>
        <w:br w:type="page"/>
      </w:r>
    </w:p>
    <w:p>
      <w:pPr>
        <w:pStyle w:val="Heading1"/>
      </w:pPr>
      <w:r>
        <w:t>4. Technologies used in Prototype 2</w:t>
      </w:r>
    </w:p>
    <w:tbl>
      <w:tblPr>
        <w:tblW w:type="auto" w:w="0"/>
        <w:jc w:val="center"/>
        <w:tblLayout w:type="fixed"/>
        <w:tblLook w:firstColumn="1" w:firstRow="1" w:lastColumn="0" w:lastRow="0" w:noHBand="0" w:noVBand="1" w:val="04A0"/>
      </w:tblPr>
      <w:tblGrid>
        <w:gridCol w:w="3317"/>
        <w:gridCol w:w="3317"/>
        <w:gridCol w:w="3317"/>
      </w:tblGrid>
      <w:tr>
        <w:trPr>
          <w:tblHeader w:val="true"/>
        </w:trPr>
        <w:tc>
          <w:tcPr>
            <w:tcW w:type="dxa" w:w="2232"/>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Technology</w:t>
            </w:r>
          </w:p>
        </w:tc>
        <w:tc>
          <w:tcPr>
            <w:tcW w:type="dxa" w:w="4320"/>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Current role</w:t>
            </w:r>
          </w:p>
        </w:tc>
        <w:tc>
          <w:tcPr>
            <w:tcW w:type="dxa" w:w="3456"/>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Important limit</w:t>
            </w:r>
          </w:p>
        </w:tc>
      </w:tr>
      <w:tr>
        <w:trPr>
          <w:cantSplit/>
        </w:trPr>
        <w:tc>
          <w:tcPr>
            <w:tcW w:type="dxa" w:w="223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Django REST Framework and PostgreSQL</w:t>
            </w:r>
          </w:p>
        </w:tc>
        <w:tc>
          <w:tcPr>
            <w:tcW w:type="dxa" w:w="432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Review rules, persistence, eligibility, and stored summaries.</w:t>
            </w:r>
          </w:p>
        </w:tc>
        <w:tc>
          <w:tcPr>
            <w:tcW w:type="dxa" w:w="345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Correct storage does not establish correct AI interpretation.</w:t>
            </w:r>
          </w:p>
        </w:tc>
      </w:tr>
      <w:tr>
        <w:trPr>
          <w:cantSplit/>
        </w:trPr>
        <w:tc>
          <w:tcPr>
            <w:tcW w:type="dxa" w:w="223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VADER and fastText</w:t>
            </w:r>
          </w:p>
        </w:tc>
        <w:tc>
          <w:tcPr>
            <w:tcW w:type="dxa" w:w="432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English sentiment and language routing.</w:t>
            </w:r>
          </w:p>
        </w:tc>
        <w:tc>
          <w:tcPr>
            <w:tcW w:type="dxa" w:w="345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Language confidence is not sentiment accuracy.</w:t>
            </w:r>
          </w:p>
        </w:tc>
      </w:tr>
      <w:tr>
        <w:trPr>
          <w:cantSplit/>
        </w:trPr>
        <w:tc>
          <w:tcPr>
            <w:tcW w:type="dxa" w:w="223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Tagalog RoBERTa, Transformers, and PyTorch</w:t>
            </w:r>
          </w:p>
        </w:tc>
        <w:tc>
          <w:tcPr>
            <w:tcW w:type="dxa" w:w="432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Local CPU inference for non-English or low-confidence text.</w:t>
            </w:r>
          </w:p>
        </w:tc>
        <w:tc>
          <w:tcPr>
            <w:tcW w:type="dxa" w:w="345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Not a validated Cebuano model; documented negation failure.</w:t>
            </w:r>
          </w:p>
        </w:tc>
      </w:tr>
      <w:tr>
        <w:trPr>
          <w:cantSplit/>
        </w:trPr>
        <w:tc>
          <w:tcPr>
            <w:tcW w:type="dxa" w:w="223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Google Gemini</w:t>
            </w:r>
          </w:p>
        </w:tc>
        <w:tc>
          <w:tcPr>
            <w:tcW w:type="dxa" w:w="432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Frequent-mention extraction with evidence-ID/count checks.</w:t>
            </w:r>
          </w:p>
        </w:tc>
        <w:tc>
          <w:tcPr>
            <w:tcW w:type="dxa" w:w="345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External, variable, and reported as semantically unreliable.</w:t>
            </w:r>
          </w:p>
        </w:tc>
      </w:tr>
      <w:tr>
        <w:trPr>
          <w:cantSplit/>
        </w:trPr>
        <w:tc>
          <w:tcPr>
            <w:tcW w:type="dxa" w:w="223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Celery and Redis</w:t>
            </w:r>
          </w:p>
        </w:tc>
        <w:tc>
          <w:tcPr>
            <w:tcW w:type="dxa" w:w="432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Background summary and keyword jobs.</w:t>
            </w:r>
          </w:p>
        </w:tc>
        <w:tc>
          <w:tcPr>
            <w:tcW w:type="dxa" w:w="345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Results can be stale or unavailable until jobs succeed.</w:t>
            </w:r>
          </w:p>
        </w:tc>
      </w:tr>
      <w:tr>
        <w:trPr>
          <w:cantSplit/>
        </w:trPr>
        <w:tc>
          <w:tcPr>
            <w:tcW w:type="dxa" w:w="223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PostGIS</w:t>
            </w:r>
          </w:p>
        </w:tc>
        <w:tc>
          <w:tcPr>
            <w:tcW w:type="dxa" w:w="432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Direct-journey search over transit points and route variants.</w:t>
            </w:r>
          </w:p>
        </w:tc>
        <w:tc>
          <w:tcPr>
            <w:tcW w:type="dxa" w:w="345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Quality depends on validated transit data.</w:t>
            </w:r>
          </w:p>
        </w:tc>
      </w:tr>
      <w:tr>
        <w:trPr>
          <w:cantSplit/>
        </w:trPr>
        <w:tc>
          <w:tcPr>
            <w:tcW w:type="dxa" w:w="223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React Native, Expo, React Query, maps, and location</w:t>
            </w:r>
          </w:p>
        </w:tc>
        <w:tc>
          <w:tcPr>
            <w:tcW w:type="dxa" w:w="432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Mobile review and journey screens and states.</w:t>
            </w:r>
          </w:p>
        </w:tc>
        <w:tc>
          <w:tcPr>
            <w:tcW w:type="dxa" w:w="345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UI success does not validate insight or route correctness.</w:t>
            </w:r>
          </w:p>
        </w:tc>
      </w:tr>
      <w:tr>
        <w:trPr>
          <w:cantSplit/>
        </w:trPr>
        <w:tc>
          <w:tcPr>
            <w:tcW w:type="dxa" w:w="223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Google Routes</w:t>
            </w:r>
          </w:p>
        </w:tc>
        <w:tc>
          <w:tcPr>
            <w:tcW w:type="dxa" w:w="432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Online road directions.</w:t>
            </w:r>
          </w:p>
        </w:tc>
        <w:tc>
          <w:tcPr>
            <w:tcW w:type="dxa" w:w="345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Separate from jeepney guidance; requires network/API availability.</w:t>
            </w:r>
          </w:p>
        </w:tc>
      </w:tr>
    </w:tbl>
    <w:p>
      <w:pPr>
        <w:spacing w:after="0"/>
      </w:pPr>
    </w:p>
    <w:p>
      <w:r>
        <w:br w:type="page"/>
      </w:r>
    </w:p>
    <w:p>
      <w:pPr>
        <w:pStyle w:val="Heading1"/>
      </w:pPr>
      <w:r>
        <w:t>5. Changes from the manuscript</w:t>
      </w:r>
    </w:p>
    <w:tbl>
      <w:tblPr>
        <w:tblW w:type="auto" w:w="0"/>
        <w:jc w:val="center"/>
        <w:tblLayout w:type="fixed"/>
        <w:tblLook w:firstColumn="1" w:firstRow="1" w:lastColumn="0" w:lastRow="0" w:noHBand="0" w:noVBand="1" w:val="04A0"/>
      </w:tblPr>
      <w:tblGrid>
        <w:gridCol w:w="3317"/>
        <w:gridCol w:w="3317"/>
        <w:gridCol w:w="3317"/>
      </w:tblGrid>
      <w:tr>
        <w:trPr>
          <w:tblHeader w:val="true"/>
        </w:trPr>
        <w:tc>
          <w:tcPr>
            <w:tcW w:type="dxa" w:w="3096"/>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Manuscript expectation</w:t>
            </w:r>
          </w:p>
        </w:tc>
        <w:tc>
          <w:tcPr>
            <w:tcW w:type="dxa" w:w="4464"/>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Current repository evidence</w:t>
            </w:r>
          </w:p>
        </w:tc>
        <w:tc>
          <w:tcPr>
            <w:tcW w:type="dxa" w:w="2592"/>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Clarification needed</w:t>
            </w:r>
          </w:p>
        </w:tc>
      </w:tr>
      <w:tr>
        <w:trPr>
          <w:cantSplit/>
        </w:trPr>
        <w:tc>
          <w:tcPr>
            <w:tcW w:type="dxa" w:w="30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Module 5 lists review submission, VADER scoring, vibe summary generation, and vouching.</w:t>
            </w:r>
          </w:p>
        </w:tc>
        <w:tc>
          <w:tcPr>
            <w:tcW w:type="dxa" w:w="4464"/>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The repo adds language detection, a Tagalog fallback, and Gemini frequent mentions. Visitor Vibe shows structured sentiment and tags; no narrative summary was evidenced.</w:t>
            </w:r>
          </w:p>
        </w:tc>
        <w:tc>
          <w:tcPr>
            <w:tcW w:type="dxa" w:w="259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Decide whether structured insights satisfy vibe summary and update the manuscript.</w:t>
            </w:r>
          </w:p>
        </w:tc>
      </w:tr>
      <w:tr>
        <w:trPr>
          <w:cantSplit/>
        </w:trPr>
        <w:tc>
          <w:tcPr>
            <w:tcW w:type="dxa" w:w="30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Module 4 lists jeepney mapping, landmark directions, and offline wayfinding.</w:t>
            </w:r>
          </w:p>
        </w:tc>
        <w:tc>
          <w:tcPr>
            <w:tcW w:type="dxa" w:w="4464"/>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The repo supports selected direct journeys, map context, and separate Google driving guidance.</w:t>
            </w:r>
          </w:p>
        </w:tc>
        <w:tc>
          <w:tcPr>
            <w:tcW w:type="dxa" w:w="259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Offline SQLite access and passenger-facing transfer planning are not demonstrated.</w:t>
            </w:r>
          </w:p>
        </w:tc>
      </w:tr>
      <w:tr>
        <w:trPr>
          <w:cantSplit/>
        </w:trPr>
        <w:tc>
          <w:tcPr>
            <w:tcW w:type="dxa" w:w="30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The limitations allow manual intervention for dialect-specific reviews.</w:t>
            </w:r>
          </w:p>
        </w:tc>
        <w:tc>
          <w:tcPr>
            <w:tcW w:type="dxa" w:w="4464"/>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Cebuano has no dedicated sentiment model; Gemini keyword interpretation remains unvalidated.</w:t>
            </w:r>
          </w:p>
        </w:tc>
        <w:tc>
          <w:tcPr>
            <w:tcW w:type="dxa" w:w="259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Define supported languages, manual handling, and evaluation evidence.</w:t>
            </w:r>
          </w:p>
        </w:tc>
      </w:tr>
    </w:tbl>
    <w:p>
      <w:pPr>
        <w:spacing w:after="0"/>
      </w:pPr>
    </w:p>
    <w:p>
      <w:r>
        <w:rPr>
          <w:b/>
        </w:rPr>
        <w:t xml:space="preserve">Repository evidence. </w:t>
      </w:r>
      <w:r>
        <w:t>The brief follows the current sentiment, keyword, review-summary, direct-journey, journey-map, and road-route services. Manuscript references are pages 6-7 and Appendix H page 209. Runtime language accuracy and route correctness are not yet measured by this document.</w:t>
      </w:r>
    </w:p>
    <w:p>
      <w:r>
        <w:br w:type="page"/>
      </w:r>
    </w:p>
    <w:p>
      <w:pPr>
        <w:pStyle w:val="Heading1"/>
      </w:pPr>
      <w:r>
        <w:t>6. Current completion status</w:t>
      </w:r>
    </w:p>
    <w:p>
      <w:r>
        <w:rPr>
          <w:b/>
        </w:rPr>
        <w:t xml:space="preserve">Current cumulative claim. </w:t>
      </w:r>
      <w:r>
        <w:t>The team confidently reports Prototype 1 as 50% implemented. Prototype 2 adds no percentage until its scope and evidence are accepted. The current cumulative figure for consultation therefore remains 50%.</w:t>
      </w:r>
    </w:p>
    <w:p>
      <w:r>
        <w:t>The readiness table avoids converting module names into percentages. The professor can approve weights or another method after reviewing P2 evidence.</w:t>
      </w:r>
    </w:p>
    <w:tbl>
      <w:tblPr>
        <w:tblW w:type="auto" w:w="0"/>
        <w:jc w:val="center"/>
        <w:tblLayout w:type="fixed"/>
        <w:tblLook w:firstColumn="1" w:firstRow="1" w:lastColumn="0" w:lastRow="0" w:noHBand="0" w:noVBand="1" w:val="04A0"/>
      </w:tblPr>
      <w:tblGrid>
        <w:gridCol w:w="3317"/>
        <w:gridCol w:w="3317"/>
        <w:gridCol w:w="3317"/>
      </w:tblGrid>
      <w:tr>
        <w:trPr>
          <w:tblHeader w:val="true"/>
        </w:trPr>
        <w:tc>
          <w:tcPr>
            <w:tcW w:type="dxa" w:w="2952"/>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P2 capability</w:t>
            </w:r>
          </w:p>
        </w:tc>
        <w:tc>
          <w:tcPr>
            <w:tcW w:type="dxa" w:w="2520"/>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Readiness</w:t>
            </w:r>
          </w:p>
        </w:tc>
        <w:tc>
          <w:tcPr>
            <w:tcW w:type="dxa" w:w="4680"/>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What prevents completion credit</w:t>
            </w:r>
          </w:p>
        </w:tc>
      </w:tr>
      <w:tr>
        <w:trPr>
          <w:cantSplit/>
        </w:trPr>
        <w:tc>
          <w:tcPr>
            <w:tcW w:type="dxa" w:w="295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Review submission and display</w:t>
            </w:r>
          </w:p>
        </w:tc>
        <w:tc>
          <w:tcPr>
            <w:tcW w:type="dxa" w:w="252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Demonstrable</w:t>
            </w:r>
          </w:p>
        </w:tc>
        <w:tc>
          <w:tcPr>
            <w:tcW w:type="dxa" w:w="468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Final demo record still required.</w:t>
            </w:r>
          </w:p>
        </w:tc>
      </w:tr>
      <w:tr>
        <w:trPr>
          <w:cantSplit/>
        </w:trPr>
        <w:tc>
          <w:tcPr>
            <w:tcW w:type="dxa" w:w="295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Sentiment distribution</w:t>
            </w:r>
          </w:p>
        </w:tc>
        <w:tc>
          <w:tcPr>
            <w:tcW w:type="dxa" w:w="252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Demonstrable with limits</w:t>
            </w:r>
          </w:p>
        </w:tc>
        <w:tc>
          <w:tcPr>
            <w:tcW w:type="dxa" w:w="468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Cebuano, mixed-language, negation, and accuracy unvalidated.</w:t>
            </w:r>
          </w:p>
        </w:tc>
      </w:tr>
      <w:tr>
        <w:trPr>
          <w:cantSplit/>
        </w:trPr>
        <w:tc>
          <w:tcPr>
            <w:tcW w:type="dxa" w:w="295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Frequent mentions</w:t>
            </w:r>
          </w:p>
        </w:tc>
        <w:tc>
          <w:tcPr>
            <w:tcW w:type="dxa" w:w="252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Experimental</w:t>
            </w:r>
          </w:p>
        </w:tc>
        <w:tc>
          <w:tcPr>
            <w:tcW w:type="dxa" w:w="468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Reported semantic unreliability; measured evaluation missing.</w:t>
            </w:r>
          </w:p>
        </w:tc>
      </w:tr>
      <w:tr>
        <w:trPr>
          <w:cantSplit/>
        </w:trPr>
        <w:tc>
          <w:tcPr>
            <w:tcW w:type="dxa" w:w="295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Selected zero-transfer journeys</w:t>
            </w:r>
          </w:p>
        </w:tc>
        <w:tc>
          <w:tcPr>
            <w:tcW w:type="dxa" w:w="252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Demonstrable</w:t>
            </w:r>
          </w:p>
        </w:tc>
        <w:tc>
          <w:tcPr>
            <w:tcW w:type="dxa" w:w="468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Route-source validation and representative cases missing.</w:t>
            </w:r>
          </w:p>
        </w:tc>
      </w:tr>
      <w:tr>
        <w:trPr>
          <w:cantSplit/>
        </w:trPr>
        <w:tc>
          <w:tcPr>
            <w:tcW w:type="dxa" w:w="295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Online road guidance</w:t>
            </w:r>
          </w:p>
        </w:tc>
        <w:tc>
          <w:tcPr>
            <w:tcW w:type="dxa" w:w="252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Separate demonstrable aid</w:t>
            </w:r>
          </w:p>
        </w:tc>
        <w:tc>
          <w:tcPr>
            <w:tcW w:type="dxa" w:w="468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External dependency; does not count as transit validation.</w:t>
            </w:r>
          </w:p>
        </w:tc>
      </w:tr>
      <w:tr>
        <w:trPr>
          <w:cantSplit/>
        </w:trPr>
        <w:tc>
          <w:tcPr>
            <w:tcW w:type="dxa" w:w="295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Transfers, full coverage, offline navigation</w:t>
            </w:r>
          </w:p>
        </w:tc>
        <w:tc>
          <w:tcPr>
            <w:tcW w:type="dxa" w:w="252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Not demonstrated</w:t>
            </w:r>
          </w:p>
        </w:tc>
        <w:tc>
          <w:tcPr>
            <w:tcW w:type="dxa" w:w="468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Passenger-facing transfers and SQLite offline work incomplete.</w:t>
            </w:r>
          </w:p>
        </w:tc>
      </w:tr>
    </w:tbl>
    <w:p>
      <w:pPr>
        <w:spacing w:after="0"/>
      </w:pPr>
    </w:p>
    <w:p>
      <w:r>
        <w:br w:type="page"/>
      </w:r>
    </w:p>
    <w:p>
      <w:pPr>
        <w:pStyle w:val="Heading1"/>
      </w:pPr>
      <w:r>
        <w:t>7. Questions for professor consultation</w:t>
      </w:r>
    </w:p>
    <w:p>
      <w:r>
        <w:t>These require research, scope, or evaluation decisions that the development team should not decide alone.</w:t>
      </w:r>
    </w:p>
    <w:tbl>
      <w:tblPr>
        <w:tblW w:type="auto" w:w="0"/>
        <w:jc w:val="center"/>
        <w:tblLayout w:type="fixed"/>
        <w:tblLook w:firstColumn="1" w:firstRow="1" w:lastColumn="0" w:lastRow="0" w:noHBand="0" w:noVBand="1" w:val="04A0"/>
      </w:tblPr>
      <w:tblGrid>
        <w:gridCol w:w="3317"/>
        <w:gridCol w:w="3317"/>
        <w:gridCol w:w="3317"/>
      </w:tblGrid>
      <w:tr>
        <w:trPr>
          <w:tblHeader w:val="true"/>
        </w:trPr>
        <w:tc>
          <w:tcPr>
            <w:tcW w:type="dxa" w:w="3672"/>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Consultation question</w:t>
            </w:r>
          </w:p>
        </w:tc>
        <w:tc>
          <w:tcPr>
            <w:tcW w:type="dxa" w:w="3672"/>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Why it matters</w:t>
            </w:r>
          </w:p>
        </w:tc>
        <w:tc>
          <w:tcPr>
            <w:tcW w:type="dxa" w:w="2808"/>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Team recommendation</w:t>
            </w:r>
          </w:p>
        </w:tc>
      </w:tr>
      <w:tr>
        <w:trPr>
          <w:cantSplit/>
        </w:trPr>
        <w:tc>
          <w:tcPr>
            <w:tcW w:type="dxa" w:w="367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What evidence is required before SugboGo may claim Cebuano sentiment support?</w:t>
            </w:r>
          </w:p>
        </w:tc>
        <w:tc>
          <w:tcPr>
            <w:tcW w:type="dxa" w:w="367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The current fallback is Tagalog, and its output can look authoritative even when wrong.</w:t>
            </w:r>
          </w:p>
        </w:tc>
        <w:tc>
          <w:tcPr>
            <w:tcW w:type="dxa" w:w="280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Require a labeled Cebuano and mixed-language set with an approved metric and threshold.</w:t>
            </w:r>
          </w:p>
        </w:tc>
      </w:tr>
      <w:tr>
        <w:trPr>
          <w:cantSplit/>
        </w:trPr>
        <w:tc>
          <w:tcPr>
            <w:tcW w:type="dxa" w:w="367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If no Cebuano model meets the threshold, may the system mark the result unsupported or require manual review?</w:t>
            </w:r>
          </w:p>
        </w:tc>
        <w:tc>
          <w:tcPr>
            <w:tcW w:type="dxa" w:w="367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Forcing an unreliable label conflicts with reputation integrity.</w:t>
            </w:r>
          </w:p>
        </w:tc>
        <w:tc>
          <w:tcPr>
            <w:tcW w:type="dxa" w:w="280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Prefer an honest unsupported/manual state.</w:t>
            </w:r>
          </w:p>
        </w:tc>
      </w:tr>
      <w:tr>
        <w:trPr>
          <w:cantSplit/>
        </w:trPr>
        <w:tc>
          <w:tcPr>
            <w:tcW w:type="dxa" w:w="367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Do sentiment percentages and frequent tags satisfy the intended vibe summary?</w:t>
            </w:r>
          </w:p>
        </w:tc>
        <w:tc>
          <w:tcPr>
            <w:tcW w:type="dxa" w:w="367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The implementation is structured; manuscript wording may imply narrative text.</w:t>
            </w:r>
          </w:p>
        </w:tc>
        <w:tc>
          <w:tcPr>
            <w:tcW w:type="dxa" w:w="280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Accept traceable structured insights and revise the wording.</w:t>
            </w:r>
          </w:p>
        </w:tc>
      </w:tr>
      <w:tr>
        <w:trPr>
          <w:cantSplit/>
        </w:trPr>
        <w:tc>
          <w:tcPr>
            <w:tcW w:type="dxa" w:w="367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What standard determines whether frequent mentions are reliable enough to show?</w:t>
            </w:r>
          </w:p>
        </w:tc>
        <w:tc>
          <w:tcPr>
            <w:tcW w:type="dxa" w:w="367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Schema and review-ID checks do not prove semantic correctness.</w:t>
            </w:r>
          </w:p>
        </w:tc>
        <w:tc>
          <w:tcPr>
            <w:tcW w:type="dxa" w:w="280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Measure supported-tag precision, missed themes, negation errors, and run consistency.</w:t>
            </w:r>
          </w:p>
        </w:tc>
      </w:tr>
      <w:tr>
        <w:trPr>
          <w:cantSplit/>
        </w:trPr>
        <w:tc>
          <w:tcPr>
            <w:tcW w:type="dxa" w:w="367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May review text be sent to Gemini, and what privacy, consent, retention, and fallback rules apply?</w:t>
            </w:r>
          </w:p>
        </w:tc>
        <w:tc>
          <w:tcPr>
            <w:tcW w:type="dxa" w:w="367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The feature sends user-generated text to an external provider.</w:t>
            </w:r>
          </w:p>
        </w:tc>
        <w:tc>
          <w:tcPr>
            <w:tcW w:type="dxa" w:w="280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Approve data handling and a safe unavailable state.</w:t>
            </w:r>
          </w:p>
        </w:tc>
      </w:tr>
      <w:tr>
        <w:trPr>
          <w:cantSplit/>
        </w:trPr>
        <w:tc>
          <w:tcPr>
            <w:tcW w:type="dxa" w:w="367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Who or what source validates jeepney routes and landmarks?</w:t>
            </w:r>
          </w:p>
        </w:tc>
        <w:tc>
          <w:tcPr>
            <w:tcW w:type="dxa" w:w="367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A working map does not prove real-world correctness.</w:t>
            </w:r>
          </w:p>
        </w:tc>
        <w:tc>
          <w:tcPr>
            <w:tcW w:type="dxa" w:w="280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Record dataset version and approved validator.</w:t>
            </w:r>
          </w:p>
        </w:tc>
      </w:tr>
      <w:tr>
        <w:trPr>
          <w:cantSplit/>
        </w:trPr>
        <w:tc>
          <w:tcPr>
            <w:tcW w:type="dxa" w:w="367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Is a zero-transfer journey enough for P2, or must transfers work in the passenger demo?</w:t>
            </w:r>
          </w:p>
        </w:tc>
        <w:tc>
          <w:tcPr>
            <w:tcW w:type="dxa" w:w="367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Existing demonstrated search is direct only.</w:t>
            </w:r>
          </w:p>
        </w:tc>
        <w:tc>
          <w:tcPr>
            <w:tcW w:type="dxa" w:w="280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Accept direct journeys for limited P2 unless scope requires transfers now.</w:t>
            </w:r>
          </w:p>
        </w:tc>
      </w:tr>
      <w:tr>
        <w:trPr>
          <w:cantSplit/>
        </w:trPr>
        <w:tc>
          <w:tcPr>
            <w:tcW w:type="dxa" w:w="367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Must offline navigation be completed in P2?</w:t>
            </w:r>
          </w:p>
        </w:tc>
        <w:tc>
          <w:tcPr>
            <w:tcW w:type="dxa" w:w="3672"/>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The manuscript promises it, but SQLite was not evidenced.</w:t>
            </w:r>
          </w:p>
        </w:tc>
        <w:tc>
          <w:tcPr>
            <w:tcW w:type="dxa" w:w="280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Do not count it complete; record a scope decision and deadline.</w:t>
            </w:r>
          </w:p>
        </w:tc>
      </w:tr>
      <w:tr>
        <w:trPr>
          <w:cantSplit/>
        </w:trPr>
        <w:tc>
          <w:tcPr>
            <w:tcW w:type="dxa" w:w="367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How should accepted P2 evidence change the current 50% figure?</w:t>
            </w:r>
          </w:p>
        </w:tc>
        <w:tc>
          <w:tcPr>
            <w:tcW w:type="dxa" w:w="3672"/>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Equal module counting ignores different scope, risk, and incomplete subfeatures.</w:t>
            </w:r>
          </w:p>
        </w:tc>
        <w:tc>
          <w:tcPr>
            <w:tcW w:type="dxa" w:w="280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5"/>
              </w:rPr>
              <w:t>Approve capability weights or qualitative gates after the demo.</w:t>
            </w:r>
          </w:p>
        </w:tc>
      </w:tr>
    </w:tbl>
    <w:p>
      <w:pPr>
        <w:spacing w:after="0"/>
      </w:pPr>
    </w:p>
    <w:p>
      <w:r>
        <w:br w:type="page"/>
      </w:r>
    </w:p>
    <w:p>
      <w:pPr>
        <w:pStyle w:val="Heading1"/>
      </w:pPr>
      <w:r>
        <w:t>8. Prototype 2 demo run sheet</w:t>
      </w:r>
    </w:p>
    <w:tbl>
      <w:tblPr>
        <w:tblW w:type="auto" w:w="0"/>
        <w:jc w:val="center"/>
        <w:tblLayout w:type="fixed"/>
        <w:tblLook w:firstColumn="1" w:firstRow="1" w:lastColumn="0" w:lastRow="0" w:noHBand="0" w:noVBand="1" w:val="04A0"/>
      </w:tblPr>
      <w:tblGrid>
        <w:gridCol w:w="2488"/>
        <w:gridCol w:w="2488"/>
        <w:gridCol w:w="2488"/>
        <w:gridCol w:w="2488"/>
      </w:tblGrid>
      <w:tr>
        <w:trPr>
          <w:tblHeader w:val="true"/>
        </w:trPr>
        <w:tc>
          <w:tcPr>
            <w:tcW w:type="dxa" w:w="648"/>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jc w:val="center"/>
            </w:pPr>
            <w:r/>
            <w:r>
              <w:rPr>
                <w:rFonts w:ascii="Aptos" w:hAnsi="Aptos"/>
                <w:b/>
                <w:color w:val="FFFFFF"/>
                <w:sz w:val="17"/>
              </w:rPr>
              <w:t>Step</w:t>
            </w:r>
          </w:p>
        </w:tc>
        <w:tc>
          <w:tcPr>
            <w:tcW w:type="dxa" w:w="1296"/>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Actor</w:t>
            </w:r>
          </w:p>
        </w:tc>
        <w:tc>
          <w:tcPr>
            <w:tcW w:type="dxa" w:w="4896"/>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Action</w:t>
            </w:r>
          </w:p>
        </w:tc>
        <w:tc>
          <w:tcPr>
            <w:tcW w:type="dxa" w:w="3240"/>
            <w:shd w:fill="17324D"/>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color w:val="FFFFFF"/>
                <w:sz w:val="17"/>
              </w:rPr>
              <w:t>Evidence</w:t>
            </w:r>
          </w:p>
        </w:tc>
      </w:tr>
      <w:tr>
        <w:trPr>
          <w:cantSplit/>
        </w:trPr>
        <w:tc>
          <w:tcPr>
            <w:tcW w:type="dxa" w:w="64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jc w:val="center"/>
            </w:pPr>
            <w:r/>
            <w:r>
              <w:rPr>
                <w:rFonts w:ascii="Aptos" w:hAnsi="Aptos"/>
                <w:b w:val="0"/>
                <w:color w:val="000000"/>
                <w:sz w:val="16"/>
              </w:rPr>
              <w:t>1</w:t>
            </w:r>
          </w:p>
        </w:tc>
        <w:tc>
          <w:tcPr>
            <w:tcW w:type="dxa" w:w="12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Explorer</w:t>
            </w:r>
          </w:p>
        </w:tc>
        <w:tc>
          <w:tcPr>
            <w:tcW w:type="dxa" w:w="48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Open an approved business and review list.</w:t>
            </w:r>
          </w:p>
        </w:tc>
        <w:tc>
          <w:tcPr>
            <w:tcW w:type="dxa" w:w="324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Correct business and persisted reviews.</w:t>
            </w:r>
          </w:p>
        </w:tc>
      </w:tr>
      <w:tr>
        <w:trPr>
          <w:cantSplit/>
        </w:trPr>
        <w:tc>
          <w:tcPr>
            <w:tcW w:type="dxa" w:w="64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jc w:val="center"/>
            </w:pPr>
            <w:r/>
            <w:r>
              <w:rPr>
                <w:rFonts w:ascii="Aptos" w:hAnsi="Aptos"/>
                <w:b w:val="0"/>
                <w:color w:val="000000"/>
                <w:sz w:val="16"/>
              </w:rPr>
              <w:t>2</w:t>
            </w:r>
          </w:p>
        </w:tc>
        <w:tc>
          <w:tcPr>
            <w:tcW w:type="dxa" w:w="12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Explorer</w:t>
            </w:r>
          </w:p>
        </w:tc>
        <w:tc>
          <w:tcPr>
            <w:tcW w:type="dxa" w:w="48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Submit and refresh a valid review.</w:t>
            </w:r>
          </w:p>
        </w:tc>
        <w:tc>
          <w:tcPr>
            <w:tcW w:type="dxa" w:w="324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Persistence and actual validation rules.</w:t>
            </w:r>
          </w:p>
        </w:tc>
      </w:tr>
      <w:tr>
        <w:trPr>
          <w:cantSplit/>
        </w:trPr>
        <w:tc>
          <w:tcPr>
            <w:tcW w:type="dxa" w:w="64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jc w:val="center"/>
            </w:pPr>
            <w:r/>
            <w:r>
              <w:rPr>
                <w:rFonts w:ascii="Aptos" w:hAnsi="Aptos"/>
                <w:b w:val="0"/>
                <w:color w:val="000000"/>
                <w:sz w:val="16"/>
              </w:rPr>
              <w:t>3</w:t>
            </w:r>
          </w:p>
        </w:tc>
        <w:tc>
          <w:tcPr>
            <w:tcW w:type="dxa" w:w="12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Team</w:t>
            </w:r>
          </w:p>
        </w:tc>
        <w:tc>
          <w:tcPr>
            <w:tcW w:type="dxa" w:w="48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Compare Visitor Vibe with prepared reviews.</w:t>
            </w:r>
          </w:p>
        </w:tc>
        <w:tc>
          <w:tcPr>
            <w:tcW w:type="dxa" w:w="324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Counts, tags, freshness, and a known limitation.</w:t>
            </w:r>
          </w:p>
        </w:tc>
      </w:tr>
      <w:tr>
        <w:trPr>
          <w:cantSplit/>
        </w:trPr>
        <w:tc>
          <w:tcPr>
            <w:tcW w:type="dxa" w:w="64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jc w:val="center"/>
            </w:pPr>
            <w:r/>
            <w:r>
              <w:rPr>
                <w:rFonts w:ascii="Aptos" w:hAnsi="Aptos"/>
                <w:b w:val="0"/>
                <w:color w:val="000000"/>
                <w:sz w:val="16"/>
              </w:rPr>
              <w:t>4</w:t>
            </w:r>
          </w:p>
        </w:tc>
        <w:tc>
          <w:tcPr>
            <w:tcW w:type="dxa" w:w="12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Team</w:t>
            </w:r>
          </w:p>
        </w:tc>
        <w:tc>
          <w:tcPr>
            <w:tcW w:type="dxa" w:w="48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Run agreed English, Filipino, Cebuano, and mixed examples.</w:t>
            </w:r>
          </w:p>
        </w:tc>
        <w:tc>
          <w:tcPr>
            <w:tcW w:type="dxa" w:w="324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Observed outputs recorded without unapproved accuracy claims.</w:t>
            </w:r>
          </w:p>
        </w:tc>
      </w:tr>
      <w:tr>
        <w:trPr>
          <w:cantSplit/>
        </w:trPr>
        <w:tc>
          <w:tcPr>
            <w:tcW w:type="dxa" w:w="64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jc w:val="center"/>
            </w:pPr>
            <w:r/>
            <w:r>
              <w:rPr>
                <w:rFonts w:ascii="Aptos" w:hAnsi="Aptos"/>
                <w:b w:val="0"/>
                <w:color w:val="000000"/>
                <w:sz w:val="16"/>
              </w:rPr>
              <w:t>5</w:t>
            </w:r>
          </w:p>
        </w:tc>
        <w:tc>
          <w:tcPr>
            <w:tcW w:type="dxa" w:w="12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Explorer</w:t>
            </w:r>
          </w:p>
        </w:tc>
        <w:tc>
          <w:tcPr>
            <w:tcW w:type="dxa" w:w="48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Request a confirmed direct journey.</w:t>
            </w:r>
          </w:p>
        </w:tc>
        <w:tc>
          <w:tcPr>
            <w:tcW w:type="dxa" w:w="324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Route, boarding, alighting, and map context.</w:t>
            </w:r>
          </w:p>
        </w:tc>
      </w:tr>
      <w:tr>
        <w:trPr>
          <w:cantSplit/>
        </w:trPr>
        <w:tc>
          <w:tcPr>
            <w:tcW w:type="dxa" w:w="64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jc w:val="center"/>
            </w:pPr>
            <w:r/>
            <w:r>
              <w:rPr>
                <w:rFonts w:ascii="Aptos" w:hAnsi="Aptos"/>
                <w:b w:val="0"/>
                <w:color w:val="000000"/>
                <w:sz w:val="16"/>
              </w:rPr>
              <w:t>6</w:t>
            </w:r>
          </w:p>
        </w:tc>
        <w:tc>
          <w:tcPr>
            <w:tcW w:type="dxa" w:w="12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Explorer</w:t>
            </w:r>
          </w:p>
        </w:tc>
        <w:tc>
          <w:tcPr>
            <w:tcW w:type="dxa" w:w="48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Request an unsupported journey.</w:t>
            </w:r>
          </w:p>
        </w:tc>
        <w:tc>
          <w:tcPr>
            <w:tcW w:type="dxa" w:w="324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Accurate no-match response.</w:t>
            </w:r>
          </w:p>
        </w:tc>
      </w:tr>
      <w:tr>
        <w:trPr>
          <w:cantSplit/>
        </w:trPr>
        <w:tc>
          <w:tcPr>
            <w:tcW w:type="dxa" w:w="648"/>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jc w:val="center"/>
            </w:pPr>
            <w:r/>
            <w:r>
              <w:rPr>
                <w:rFonts w:ascii="Aptos" w:hAnsi="Aptos"/>
                <w:b w:val="0"/>
                <w:color w:val="000000"/>
                <w:sz w:val="16"/>
              </w:rPr>
              <w:t>7</w:t>
            </w:r>
          </w:p>
        </w:tc>
        <w:tc>
          <w:tcPr>
            <w:tcW w:type="dxa" w:w="12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Explorer</w:t>
            </w:r>
          </w:p>
        </w:tc>
        <w:tc>
          <w:tcPr>
            <w:tcW w:type="dxa" w:w="4896"/>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Optionally open road guidance.</w:t>
            </w:r>
          </w:p>
        </w:tc>
        <w:tc>
          <w:tcPr>
            <w:tcW w:type="dxa" w:w="3240"/>
            <w:shd w:fill="FFFFFF"/>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Clearly labeled driving route.</w:t>
            </w:r>
          </w:p>
        </w:tc>
      </w:tr>
      <w:tr>
        <w:trPr>
          <w:cantSplit/>
        </w:trPr>
        <w:tc>
          <w:tcPr>
            <w:tcW w:type="dxa" w:w="648"/>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jc w:val="center"/>
            </w:pPr>
            <w:r/>
            <w:r>
              <w:rPr>
                <w:rFonts w:ascii="Aptos" w:hAnsi="Aptos"/>
                <w:b w:val="0"/>
                <w:color w:val="000000"/>
                <w:sz w:val="16"/>
              </w:rPr>
              <w:t>8</w:t>
            </w:r>
          </w:p>
        </w:tc>
        <w:tc>
          <w:tcPr>
            <w:tcW w:type="dxa" w:w="12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Team</w:t>
            </w:r>
          </w:p>
        </w:tc>
        <w:tc>
          <w:tcPr>
            <w:tcW w:type="dxa" w:w="4896"/>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Present limits and Section 7 decisions.</w:t>
            </w:r>
          </w:p>
        </w:tc>
        <w:tc>
          <w:tcPr>
            <w:tcW w:type="dxa" w:w="3240"/>
            <w:shd w:fill="F4F6F8"/>
            <w:vAlign w:val="center"/>
            <w:tcMar>
              <w:top w:w="100" w:type="dxa"/>
              <w:start w:w="100" w:type="dxa"/>
              <w:bottom w:w="100" w:type="dxa"/>
              <w:end w:w="10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line="252" w:lineRule="auto"/>
            </w:pPr>
            <w:r/>
            <w:r>
              <w:rPr>
                <w:rFonts w:ascii="Aptos" w:hAnsi="Aptos"/>
                <w:b w:val="0"/>
                <w:color w:val="000000"/>
                <w:sz w:val="16"/>
              </w:rPr>
              <w:t>Decisions, owners, and evidence recorded.</w:t>
            </w:r>
          </w:p>
        </w:tc>
      </w:tr>
    </w:tbl>
    <w:p>
      <w:pPr>
        <w:spacing w:after="0"/>
      </w:pPr>
    </w:p>
    <w:p>
      <w:pPr>
        <w:pStyle w:val="Heading2"/>
      </w:pPr>
      <w:r>
        <w:t>Final demo checks</w:t>
      </w:r>
    </w:p>
    <w:p>
      <w:pPr>
        <w:pStyle w:val="Checklist"/>
      </w:pPr>
      <w:r>
        <w:t>[ ] Datasets are versioned and resettable.</w:t>
      </w:r>
    </w:p>
    <w:p>
      <w:pPr>
        <w:pStyle w:val="Checklist"/>
      </w:pPr>
      <w:r>
        <w:t>[ ] Every claim has a pass/fail record.</w:t>
      </w:r>
    </w:p>
    <w:p>
      <w:pPr>
        <w:pStyle w:val="Checklist"/>
      </w:pPr>
      <w:r>
        <w:t>[ ] Incorrect AI outputs and unsupported routes are shown honestly.</w:t>
      </w:r>
    </w:p>
    <w:p>
      <w:pPr>
        <w:pStyle w:val="Checklist"/>
      </w:pPr>
      <w:r>
        <w:t>[ ] The spoken demo retains 50% until additional P2 credit is approved.</w:t>
      </w:r>
    </w:p>
    <w:p>
      <w:pPr>
        <w:pStyle w:val="Checklist"/>
      </w:pPr>
      <w:r>
        <w:t>[ ] Each consultation decision has an owner, due date, and required evidence.</w:t>
      </w:r>
    </w:p>
    <w:sectPr w:rsidR="00FC693F" w:rsidRPr="0006063C" w:rsidSect="00034616">
      <w:footerReference w:type="default" r:id="rId9"/>
      <w:pgSz w:w="11909" w:h="16834"/>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 xml:space="preserve">SugboGo Prototype 2 Brief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pPr>
      <w:spacing w:after="80"/>
      <w:ind w:left="317" w:hanging="317"/>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SugboGo Prototype 2 Demo and Consultation Brief</dc:title>
  <dc:subject/>
  <dc:creator>SugboGo Capstone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