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pPr>
      <w:r>
        <w:rPr>
          <w:rFonts w:ascii="Aptos" w:hAnsi="Aptos"/>
          <w:b/>
          <w:color w:val="087F8C"/>
          <w:sz w:val="20"/>
        </w:rPr>
        <w:t>PROTOTYPE 1 CONSULTATION BRIEF</w:t>
      </w:r>
    </w:p>
    <w:p>
      <w:pPr>
        <w:pStyle w:val="Title"/>
      </w:pPr>
      <w:r>
        <w:t>Verified Business</w:t>
        <w:br/>
        <w:t>to Discovery</w:t>
      </w:r>
    </w:p>
    <w:p>
      <w:r>
        <w:rPr>
          <w:rFonts w:ascii="Aptos Display" w:hAnsi="Aptos Display"/>
          <w:color w:val="667085"/>
          <w:sz w:val="28"/>
        </w:rPr>
        <w:t>Modules, expected outcomes, demo checklist, technology decisions, implementation changes, and adviser questions</w:t>
      </w:r>
    </w:p>
    <w:tbl>
      <w:tblPr>
        <w:tblW w:type="auto" w:w="0"/>
        <w:jc w:val="center"/>
        <w:tblLayout w:type="fixed"/>
        <w:tblLook w:firstColumn="1" w:firstRow="1" w:lastColumn="0" w:lastRow="0" w:noHBand="0" w:noVBand="1" w:val="04A0"/>
      </w:tblPr>
      <w:tblGrid>
        <w:gridCol w:w="4975"/>
        <w:gridCol w:w="4975"/>
      </w:tblGrid>
      <w:tr>
        <w:tc>
          <w:tcPr>
            <w:tcW w:type="dxa" w:w="144"/>
            <w:shd w:fill="087F8C"/>
            <w:tcMar>
              <w:top w:w="0" w:type="dxa"/>
              <w:start w:w="0" w:type="dxa"/>
              <w:bottom w:w="0" w:type="dxa"/>
              <w:end w:w="0" w:type="dxa"/>
            </w:tcMar>
          </w:tcPr>
          <w:p/>
        </w:tc>
        <w:tc>
          <w:tcPr>
            <w:tcW w:type="dxa" w:w="9864"/>
            <w:shd w:fill="E8F4F4"/>
            <w:tcMar>
              <w:top w:w="120" w:type="dxa"/>
              <w:start w:w="150" w:type="dxa"/>
              <w:bottom w:w="120" w:type="dxa"/>
              <w:end w:w="150" w:type="dxa"/>
            </w:tcMar>
          </w:tcPr>
          <w:p>
            <w:r/>
            <w:r>
              <w:rPr>
                <w:rFonts w:ascii="Aptos Display" w:hAnsi="Aptos Display"/>
                <w:b/>
                <w:color w:val="087F8C"/>
                <w:sz w:val="21"/>
              </w:rPr>
              <w:t>Prototype claim</w:t>
            </w:r>
          </w:p>
          <w:p>
            <w:pPr>
              <w:pStyle w:val="BodyText"/>
              <w:spacing w:after="0"/>
            </w:pPr>
            <w:r>
              <w:t>A registered explorer can apply as a merchant, an authorized administrator can evaluate the application, and an approved business becomes active and visible to explorers under the current discovery rules.</w:t>
            </w:r>
          </w:p>
        </w:tc>
      </w:tr>
    </w:tbl>
    <w:p>
      <w:pPr>
        <w:spacing w:after="0"/>
      </w:pPr>
    </w:p>
    <w:p>
      <w:pPr>
        <w:pStyle w:val="Heading2"/>
      </w:pPr>
      <w:r>
        <w:t>Scope of Prototype 1</w:t>
      </w:r>
    </w:p>
    <w:tbl>
      <w:tblPr>
        <w:tblStyle w:val="TableGrid"/>
        <w:tblW w:type="auto" w:w="0"/>
        <w:jc w:val="center"/>
        <w:tblLook w:firstColumn="1" w:firstRow="1" w:lastColumn="0" w:lastRow="0" w:noHBand="0" w:noVBand="1" w:val="04A0"/>
      </w:tblPr>
      <w:tblGrid>
        <w:gridCol w:w="4975"/>
        <w:gridCol w:w="4975"/>
      </w:tblGrid>
      <w:tr>
        <w:trPr>
          <w:tblHeader w:val="true"/>
        </w:trPr>
        <w:tc>
          <w:tcPr>
            <w:tcW w:type="dxa" w:w="2232"/>
            <w:shd w:fill="17324D"/>
            <w:vAlign w:val="center"/>
            <w:tcMar>
              <w:top w:w="75" w:type="dxa"/>
              <w:start w:w="95" w:type="dxa"/>
              <w:bottom w:w="75" w:type="dxa"/>
              <w:end w:w="95" w:type="dxa"/>
            </w:tcMar>
          </w:tcPr>
          <w:p>
            <w:r/>
            <w:r>
              <w:rPr>
                <w:rFonts w:ascii="Aptos" w:hAnsi="Aptos"/>
                <w:b/>
                <w:color w:val="FFFFFF"/>
                <w:sz w:val="16"/>
              </w:rPr>
              <w:t>Classification</w:t>
            </w:r>
          </w:p>
        </w:tc>
        <w:tc>
          <w:tcPr>
            <w:tcW w:type="dxa" w:w="7704"/>
            <w:shd w:fill="17324D"/>
            <w:vAlign w:val="center"/>
            <w:tcMar>
              <w:top w:w="75" w:type="dxa"/>
              <w:start w:w="95" w:type="dxa"/>
              <w:bottom w:w="75" w:type="dxa"/>
              <w:end w:w="95" w:type="dxa"/>
            </w:tcMar>
          </w:tcPr>
          <w:p>
            <w:r/>
            <w:r>
              <w:rPr>
                <w:rFonts w:ascii="Aptos" w:hAnsi="Aptos"/>
                <w:b/>
                <w:color w:val="FFFFFF"/>
                <w:sz w:val="16"/>
              </w:rPr>
              <w:t>Included capability</w:t>
            </w:r>
          </w:p>
        </w:tc>
      </w:tr>
      <w:tr>
        <w:trPr>
          <w:cantSplit/>
        </w:trPr>
        <w:tc>
          <w:tcPr>
            <w:tcW w:type="dxa" w:w="2232"/>
            <w:shd w:fill="FFFFFF"/>
            <w:vAlign w:val="center"/>
            <w:tcMar>
              <w:top w:w="75" w:type="dxa"/>
              <w:start w:w="95" w:type="dxa"/>
              <w:bottom w:w="75" w:type="dxa"/>
              <w:end w:w="95" w:type="dxa"/>
            </w:tcMar>
          </w:tcPr>
          <w:p>
            <w:r/>
            <w:r>
              <w:rPr>
                <w:rFonts w:ascii="Aptos" w:hAnsi="Aptos"/>
                <w:b w:val="0"/>
                <w:color w:val="17212B"/>
                <w:sz w:val="17"/>
              </w:rPr>
              <w:t>Core module</w:t>
            </w:r>
          </w:p>
        </w:tc>
        <w:tc>
          <w:tcPr>
            <w:tcW w:type="dxa" w:w="7704"/>
            <w:shd w:fill="FFFFFF"/>
            <w:vAlign w:val="center"/>
            <w:tcMar>
              <w:top w:w="75" w:type="dxa"/>
              <w:start w:w="95" w:type="dxa"/>
              <w:bottom w:w="75" w:type="dxa"/>
              <w:end w:w="95" w:type="dxa"/>
            </w:tcMar>
          </w:tcPr>
          <w:p>
            <w:r/>
            <w:r>
              <w:rPr>
                <w:rFonts w:ascii="Aptos" w:hAnsi="Aptos"/>
                <w:b w:val="0"/>
                <w:color w:val="17212B"/>
                <w:sz w:val="17"/>
              </w:rPr>
              <w:t>1. Identity and Unified Access Management (IAM)</w:t>
            </w:r>
          </w:p>
        </w:tc>
      </w:tr>
      <w:tr>
        <w:trPr>
          <w:cantSplit/>
        </w:trPr>
        <w:tc>
          <w:tcPr>
            <w:tcW w:type="dxa" w:w="2232"/>
            <w:shd w:fill="F3F5F7"/>
            <w:vAlign w:val="center"/>
            <w:tcMar>
              <w:top w:w="75" w:type="dxa"/>
              <w:start w:w="95" w:type="dxa"/>
              <w:bottom w:w="75" w:type="dxa"/>
              <w:end w:w="95" w:type="dxa"/>
            </w:tcMar>
          </w:tcPr>
          <w:p>
            <w:r/>
            <w:r>
              <w:rPr>
                <w:rFonts w:ascii="Aptos" w:hAnsi="Aptos"/>
                <w:b w:val="0"/>
                <w:color w:val="17212B"/>
                <w:sz w:val="17"/>
              </w:rPr>
              <w:t>Core module</w:t>
            </w:r>
          </w:p>
        </w:tc>
        <w:tc>
          <w:tcPr>
            <w:tcW w:type="dxa" w:w="7704"/>
            <w:shd w:fill="F3F5F7"/>
            <w:vAlign w:val="center"/>
            <w:tcMar>
              <w:top w:w="75" w:type="dxa"/>
              <w:start w:w="95" w:type="dxa"/>
              <w:bottom w:w="75" w:type="dxa"/>
              <w:end w:w="95" w:type="dxa"/>
            </w:tcMar>
          </w:tcPr>
          <w:p>
            <w:r/>
            <w:r>
              <w:rPr>
                <w:rFonts w:ascii="Aptos" w:hAnsi="Aptos"/>
                <w:b w:val="0"/>
                <w:color w:val="17212B"/>
                <w:sz w:val="17"/>
              </w:rPr>
              <w:t>2. Selective Admission Gate (SAG)</w:t>
            </w:r>
          </w:p>
        </w:tc>
      </w:tr>
      <w:tr>
        <w:trPr>
          <w:cantSplit/>
        </w:trPr>
        <w:tc>
          <w:tcPr>
            <w:tcW w:type="dxa" w:w="2232"/>
            <w:shd w:fill="FFFFFF"/>
            <w:vAlign w:val="center"/>
            <w:tcMar>
              <w:top w:w="75" w:type="dxa"/>
              <w:start w:w="95" w:type="dxa"/>
              <w:bottom w:w="75" w:type="dxa"/>
              <w:end w:w="95" w:type="dxa"/>
            </w:tcMar>
          </w:tcPr>
          <w:p>
            <w:r/>
            <w:r>
              <w:rPr>
                <w:rFonts w:ascii="Aptos" w:hAnsi="Aptos"/>
                <w:b w:val="0"/>
                <w:color w:val="17212B"/>
                <w:sz w:val="17"/>
              </w:rPr>
              <w:t>Core module</w:t>
            </w:r>
          </w:p>
        </w:tc>
        <w:tc>
          <w:tcPr>
            <w:tcW w:type="dxa" w:w="7704"/>
            <w:shd w:fill="FFFFFF"/>
            <w:vAlign w:val="center"/>
            <w:tcMar>
              <w:top w:w="75" w:type="dxa"/>
              <w:start w:w="95" w:type="dxa"/>
              <w:bottom w:w="75" w:type="dxa"/>
              <w:end w:w="95" w:type="dxa"/>
            </w:tcMar>
          </w:tcPr>
          <w:p>
            <w:r/>
            <w:r>
              <w:rPr>
                <w:rFonts w:ascii="Aptos" w:hAnsi="Aptos"/>
                <w:b w:val="0"/>
                <w:color w:val="17212B"/>
                <w:sz w:val="17"/>
              </w:rPr>
              <w:t>3. Dynamic Discovery Engine — baseline business publication and Hidden Gems visibility</w:t>
            </w:r>
          </w:p>
        </w:tc>
      </w:tr>
      <w:tr>
        <w:trPr>
          <w:cantSplit/>
        </w:trPr>
        <w:tc>
          <w:tcPr>
            <w:tcW w:type="dxa" w:w="2232"/>
            <w:shd w:fill="F3F5F7"/>
            <w:vAlign w:val="center"/>
            <w:tcMar>
              <w:top w:w="75" w:type="dxa"/>
              <w:start w:w="95" w:type="dxa"/>
              <w:bottom w:w="75" w:type="dxa"/>
              <w:end w:w="95" w:type="dxa"/>
            </w:tcMar>
          </w:tcPr>
          <w:p>
            <w:r/>
            <w:r>
              <w:rPr>
                <w:rFonts w:ascii="Aptos" w:hAnsi="Aptos"/>
                <w:b w:val="0"/>
                <w:color w:val="17212B"/>
                <w:sz w:val="17"/>
              </w:rPr>
              <w:t>Required enabler</w:t>
            </w:r>
          </w:p>
        </w:tc>
        <w:tc>
          <w:tcPr>
            <w:tcW w:type="dxa" w:w="7704"/>
            <w:shd w:fill="F3F5F7"/>
            <w:vAlign w:val="center"/>
            <w:tcMar>
              <w:top w:w="75" w:type="dxa"/>
              <w:start w:w="95" w:type="dxa"/>
              <w:bottom w:w="75" w:type="dxa"/>
              <w:end w:w="95" w:type="dxa"/>
            </w:tcMar>
          </w:tcPr>
          <w:p>
            <w:r/>
            <w:r>
              <w:rPr>
                <w:rFonts w:ascii="Aptos" w:hAnsi="Aptos"/>
                <w:b w:val="0"/>
                <w:color w:val="17212B"/>
                <w:sz w:val="17"/>
              </w:rPr>
              <w:t>Minimum Administrative Oversight and Ecosystem Analytics (AOEA) slice for application review, approval/rejection, taxonomy support, and audit evidence</w:t>
            </w:r>
          </w:p>
        </w:tc>
      </w:tr>
    </w:tbl>
    <w:p>
      <w:pPr>
        <w:spacing w:after="0"/>
      </w:pPr>
    </w:p>
    <w:p>
      <w:pPr>
        <w:pStyle w:val="BodyText"/>
      </w:pPr>
      <w:r>
        <w:t>The AOEA slice is included because SAG cannot reach its expected outcome without an administrator. It should be presented as enabling infrastructure for P1, while the full AOEA module remains part of Prototype 3.</w:t>
      </w:r>
    </w:p>
    <w:p>
      <w:pPr>
        <w:pStyle w:val="Heading2"/>
      </w:pPr>
      <w:r>
        <w:t>Source rule</w:t>
      </w:r>
    </w:p>
    <w:p>
      <w:pPr>
        <w:pStyle w:val="BulletCompact"/>
      </w:pPr>
      <w:r>
        <w:t>• Current repository behavior is the source of truth for what can be demonstrated.</w:t>
      </w:r>
    </w:p>
    <w:p>
      <w:pPr>
        <w:pStyle w:val="BulletCompact"/>
      </w:pPr>
      <w:r>
        <w:t>• The manuscript provides traceability to the objectives, scope, and Appendix H module list.</w:t>
      </w:r>
    </w:p>
    <w:p>
      <w:pPr>
        <w:pStyle w:val="BulletCompact"/>
      </w:pPr>
      <w:r>
        <w:t>• Any mismatch is recorded as a consultation decision or manuscript revision, not silently treated as complete.</w:t>
      </w:r>
    </w:p>
    <w:p>
      <w:pPr>
        <w:pStyle w:val="BodyText"/>
        <w:spacing w:after="60"/>
      </w:pPr>
      <w:r>
        <w:rPr>
          <w:b/>
          <w:color w:val="17324D"/>
        </w:rPr>
        <w:t xml:space="preserve">Repository review date  </w:t>
      </w:r>
      <w:r>
        <w:t>23 September 2026</w:t>
      </w:r>
    </w:p>
    <w:p>
      <w:pPr>
        <w:pStyle w:val="BodyText"/>
        <w:spacing w:after="60"/>
      </w:pPr>
      <w:r>
        <w:rPr>
          <w:b/>
          <w:color w:val="17324D"/>
        </w:rPr>
        <w:t xml:space="preserve">Manuscript references  </w:t>
      </w:r>
      <w:r>
        <w:t>Objectives and scope: manuscript pages 5–7; module list: Appendix H, manuscript page 208</w:t>
      </w:r>
    </w:p>
    <w:p>
      <w:r>
        <w:br w:type="page"/>
      </w:r>
    </w:p>
    <w:p>
      <w:pPr>
        <w:pStyle w:val="Heading1"/>
      </w:pPr>
      <w:r>
        <w:t>1. Modules and expected outcomes</w:t>
      </w:r>
    </w:p>
    <w:tbl>
      <w:tblPr>
        <w:tblStyle w:val="TableGrid"/>
        <w:tblW w:type="auto" w:w="0"/>
        <w:jc w:val="center"/>
        <w:tblLook w:firstColumn="1" w:firstRow="1" w:lastColumn="0" w:lastRow="0" w:noHBand="0" w:noVBand="1" w:val="04A0"/>
      </w:tblPr>
      <w:tblGrid>
        <w:gridCol w:w="3317"/>
        <w:gridCol w:w="3317"/>
        <w:gridCol w:w="3317"/>
      </w:tblGrid>
      <w:tr>
        <w:trPr>
          <w:tblHeader w:val="true"/>
        </w:trPr>
        <w:tc>
          <w:tcPr>
            <w:tcW w:type="dxa" w:w="1800"/>
            <w:shd w:fill="17324D"/>
            <w:vAlign w:val="center"/>
            <w:tcMar>
              <w:top w:w="75" w:type="dxa"/>
              <w:start w:w="95" w:type="dxa"/>
              <w:bottom w:w="75" w:type="dxa"/>
              <w:end w:w="95" w:type="dxa"/>
            </w:tcMar>
          </w:tcPr>
          <w:p>
            <w:r/>
            <w:r>
              <w:rPr>
                <w:rFonts w:ascii="Aptos" w:hAnsi="Aptos"/>
                <w:b/>
                <w:color w:val="FFFFFF"/>
                <w:sz w:val="16"/>
              </w:rPr>
              <w:t>Module</w:t>
            </w:r>
          </w:p>
        </w:tc>
        <w:tc>
          <w:tcPr>
            <w:tcW w:type="dxa" w:w="3888"/>
            <w:shd w:fill="17324D"/>
            <w:vAlign w:val="center"/>
            <w:tcMar>
              <w:top w:w="75" w:type="dxa"/>
              <w:start w:w="95" w:type="dxa"/>
              <w:bottom w:w="75" w:type="dxa"/>
              <w:end w:w="95" w:type="dxa"/>
            </w:tcMar>
          </w:tcPr>
          <w:p>
            <w:r/>
            <w:r>
              <w:rPr>
                <w:rFonts w:ascii="Aptos" w:hAnsi="Aptos"/>
                <w:b/>
                <w:color w:val="FFFFFF"/>
                <w:sz w:val="16"/>
              </w:rPr>
              <w:t>Purpose in P1</w:t>
            </w:r>
          </w:p>
        </w:tc>
        <w:tc>
          <w:tcPr>
            <w:tcW w:type="dxa" w:w="4248"/>
            <w:shd w:fill="17324D"/>
            <w:vAlign w:val="center"/>
            <w:tcMar>
              <w:top w:w="75" w:type="dxa"/>
              <w:start w:w="95" w:type="dxa"/>
              <w:bottom w:w="75" w:type="dxa"/>
              <w:end w:w="95" w:type="dxa"/>
            </w:tcMar>
          </w:tcPr>
          <w:p>
            <w:r/>
            <w:r>
              <w:rPr>
                <w:rFonts w:ascii="Aptos" w:hAnsi="Aptos"/>
                <w:b/>
                <w:color w:val="FFFFFF"/>
                <w:sz w:val="16"/>
              </w:rPr>
              <w:t>Expected outcome at the demo gate</w:t>
            </w:r>
          </w:p>
        </w:tc>
      </w:tr>
      <w:tr>
        <w:trPr>
          <w:cantSplit/>
        </w:trPr>
        <w:tc>
          <w:tcPr>
            <w:tcW w:type="dxa" w:w="1800"/>
            <w:shd w:fill="FFFFFF"/>
            <w:vAlign w:val="center"/>
            <w:tcMar>
              <w:top w:w="75" w:type="dxa"/>
              <w:start w:w="95" w:type="dxa"/>
              <w:bottom w:w="75" w:type="dxa"/>
              <w:end w:w="95" w:type="dxa"/>
            </w:tcMar>
          </w:tcPr>
          <w:p>
            <w:r/>
            <w:r>
              <w:rPr>
                <w:rFonts w:ascii="Aptos" w:hAnsi="Aptos"/>
                <w:b w:val="0"/>
                <w:color w:val="17212B"/>
                <w:sz w:val="16"/>
              </w:rPr>
              <w:t>IAM</w:t>
            </w:r>
          </w:p>
        </w:tc>
        <w:tc>
          <w:tcPr>
            <w:tcW w:type="dxa" w:w="3888"/>
            <w:shd w:fill="FFFFFF"/>
            <w:vAlign w:val="center"/>
            <w:tcMar>
              <w:top w:w="75" w:type="dxa"/>
              <w:start w:w="95" w:type="dxa"/>
              <w:bottom w:w="75" w:type="dxa"/>
              <w:end w:w="95" w:type="dxa"/>
            </w:tcMar>
          </w:tcPr>
          <w:p>
            <w:r/>
            <w:r>
              <w:rPr>
                <w:rFonts w:ascii="Aptos" w:hAnsi="Aptos"/>
                <w:b w:val="0"/>
                <w:color w:val="17212B"/>
                <w:sz w:val="16"/>
              </w:rPr>
              <w:t>Establish trusted identity, session handling, profiles, and role-aware access for Explorer, Merchant, Admin, and Super Admin contexts.</w:t>
            </w:r>
          </w:p>
        </w:tc>
        <w:tc>
          <w:tcPr>
            <w:tcW w:type="dxa" w:w="4248"/>
            <w:shd w:fill="FFFFFF"/>
            <w:vAlign w:val="center"/>
            <w:tcMar>
              <w:top w:w="75" w:type="dxa"/>
              <w:start w:w="95" w:type="dxa"/>
              <w:bottom w:w="75" w:type="dxa"/>
              <w:end w:w="95" w:type="dxa"/>
            </w:tcMar>
          </w:tcPr>
          <w:p>
            <w:r/>
            <w:r>
              <w:rPr>
                <w:rFonts w:ascii="Aptos" w:hAnsi="Aptos"/>
                <w:b w:val="0"/>
                <w:color w:val="17212B"/>
                <w:sz w:val="16"/>
              </w:rPr>
              <w:t>A user can register/sign in, restore and end a secure session, access only permitted functions, and transition into Merchant Mode only after an approved application.</w:t>
            </w:r>
          </w:p>
        </w:tc>
      </w:tr>
      <w:tr>
        <w:trPr>
          <w:cantSplit/>
        </w:trPr>
        <w:tc>
          <w:tcPr>
            <w:tcW w:type="dxa" w:w="1800"/>
            <w:shd w:fill="F3F5F7"/>
            <w:vAlign w:val="center"/>
            <w:tcMar>
              <w:top w:w="75" w:type="dxa"/>
              <w:start w:w="95" w:type="dxa"/>
              <w:bottom w:w="75" w:type="dxa"/>
              <w:end w:w="95" w:type="dxa"/>
            </w:tcMar>
          </w:tcPr>
          <w:p>
            <w:r/>
            <w:r>
              <w:rPr>
                <w:rFonts w:ascii="Aptos" w:hAnsi="Aptos"/>
                <w:b w:val="0"/>
                <w:color w:val="17212B"/>
                <w:sz w:val="16"/>
              </w:rPr>
              <w:t>SAG</w:t>
            </w:r>
          </w:p>
        </w:tc>
        <w:tc>
          <w:tcPr>
            <w:tcW w:type="dxa" w:w="3888"/>
            <w:shd w:fill="F3F5F7"/>
            <w:vAlign w:val="center"/>
            <w:tcMar>
              <w:top w:w="75" w:type="dxa"/>
              <w:start w:w="95" w:type="dxa"/>
              <w:bottom w:w="75" w:type="dxa"/>
              <w:end w:w="95" w:type="dxa"/>
            </w:tcMar>
          </w:tcPr>
          <w:p>
            <w:r/>
            <w:r>
              <w:rPr>
                <w:rFonts w:ascii="Aptos" w:hAnsi="Aptos"/>
                <w:b w:val="0"/>
                <w:color w:val="17212B"/>
                <w:sz w:val="16"/>
              </w:rPr>
              <w:t>Collect and validate the information needed to admit a tourism-contributing MSME, then manage submission, review, correction, and approval states.</w:t>
            </w:r>
          </w:p>
        </w:tc>
        <w:tc>
          <w:tcPr>
            <w:tcW w:type="dxa" w:w="4248"/>
            <w:shd w:fill="F3F5F7"/>
            <w:vAlign w:val="center"/>
            <w:tcMar>
              <w:top w:w="75" w:type="dxa"/>
              <w:start w:w="95" w:type="dxa"/>
              <w:bottom w:w="75" w:type="dxa"/>
              <w:end w:w="95" w:type="dxa"/>
            </w:tcMar>
          </w:tcPr>
          <w:p>
            <w:r/>
            <w:r>
              <w:rPr>
                <w:rFonts w:ascii="Aptos" w:hAnsi="Aptos"/>
                <w:b w:val="0"/>
                <w:color w:val="17212B"/>
                <w:sz w:val="16"/>
              </w:rPr>
              <w:t>A complete application can be saved, submitted, reviewed, rejected with actionable section feedback and resubmitted, or approved into a permanent active business without manual database edits.</w:t>
            </w:r>
          </w:p>
        </w:tc>
      </w:tr>
      <w:tr>
        <w:trPr>
          <w:cantSplit/>
        </w:trPr>
        <w:tc>
          <w:tcPr>
            <w:tcW w:type="dxa" w:w="1800"/>
            <w:shd w:fill="FFFFFF"/>
            <w:vAlign w:val="center"/>
            <w:tcMar>
              <w:top w:w="75" w:type="dxa"/>
              <w:start w:w="95" w:type="dxa"/>
              <w:bottom w:w="75" w:type="dxa"/>
              <w:end w:w="95" w:type="dxa"/>
            </w:tcMar>
          </w:tcPr>
          <w:p>
            <w:r/>
            <w:r>
              <w:rPr>
                <w:rFonts w:ascii="Aptos" w:hAnsi="Aptos"/>
                <w:b w:val="0"/>
                <w:color w:val="17212B"/>
                <w:sz w:val="16"/>
              </w:rPr>
              <w:t>Dynamic Discovery baseline</w:t>
            </w:r>
          </w:p>
        </w:tc>
        <w:tc>
          <w:tcPr>
            <w:tcW w:type="dxa" w:w="3888"/>
            <w:shd w:fill="FFFFFF"/>
            <w:vAlign w:val="center"/>
            <w:tcMar>
              <w:top w:w="75" w:type="dxa"/>
              <w:start w:w="95" w:type="dxa"/>
              <w:bottom w:w="75" w:type="dxa"/>
              <w:end w:w="95" w:type="dxa"/>
            </w:tcMar>
          </w:tcPr>
          <w:p>
            <w:r/>
            <w:r>
              <w:rPr>
                <w:rFonts w:ascii="Aptos" w:hAnsi="Aptos"/>
                <w:b w:val="0"/>
                <w:color w:val="17212B"/>
                <w:sz w:val="16"/>
              </w:rPr>
              <w:t>Expose approved active businesses through the Explorer feed, Hidden Gems collection, search/filter, and profile while retaining an explainable ranking path.</w:t>
            </w:r>
          </w:p>
        </w:tc>
        <w:tc>
          <w:tcPr>
            <w:tcW w:type="dxa" w:w="4248"/>
            <w:shd w:fill="FFFFFF"/>
            <w:vAlign w:val="center"/>
            <w:tcMar>
              <w:top w:w="75" w:type="dxa"/>
              <w:start w:w="95" w:type="dxa"/>
              <w:bottom w:w="75" w:type="dxa"/>
              <w:end w:w="95" w:type="dxa"/>
            </w:tcMar>
          </w:tcPr>
          <w:p>
            <w:r/>
            <w:r>
              <w:rPr>
                <w:rFonts w:ascii="Aptos" w:hAnsi="Aptos"/>
                <w:b w:val="0"/>
                <w:color w:val="17212B"/>
                <w:sz w:val="16"/>
              </w:rPr>
              <w:t>Before approval the applicant is absent from Explorer discovery; after approval the new active business is visible. Once scores are recomputed, Hidden Gems follows the documented deterministic Discovery Score ordering.</w:t>
            </w:r>
          </w:p>
        </w:tc>
      </w:tr>
      <w:tr>
        <w:trPr>
          <w:cantSplit/>
        </w:trPr>
        <w:tc>
          <w:tcPr>
            <w:tcW w:type="dxa" w:w="1800"/>
            <w:shd w:fill="F3F5F7"/>
            <w:vAlign w:val="center"/>
            <w:tcMar>
              <w:top w:w="75" w:type="dxa"/>
              <w:start w:w="95" w:type="dxa"/>
              <w:bottom w:w="75" w:type="dxa"/>
              <w:end w:w="95" w:type="dxa"/>
            </w:tcMar>
          </w:tcPr>
          <w:p>
            <w:r/>
            <w:r>
              <w:rPr>
                <w:rFonts w:ascii="Aptos" w:hAnsi="Aptos"/>
                <w:b w:val="0"/>
                <w:color w:val="17212B"/>
                <w:sz w:val="16"/>
              </w:rPr>
              <w:t>Minimum AOEA enabler</w:t>
            </w:r>
          </w:p>
        </w:tc>
        <w:tc>
          <w:tcPr>
            <w:tcW w:type="dxa" w:w="3888"/>
            <w:shd w:fill="F3F5F7"/>
            <w:vAlign w:val="center"/>
            <w:tcMar>
              <w:top w:w="75" w:type="dxa"/>
              <w:start w:w="95" w:type="dxa"/>
              <w:bottom w:w="75" w:type="dxa"/>
              <w:end w:w="95" w:type="dxa"/>
            </w:tcMar>
          </w:tcPr>
          <w:p>
            <w:r/>
            <w:r>
              <w:rPr>
                <w:rFonts w:ascii="Aptos" w:hAnsi="Aptos"/>
                <w:b w:val="0"/>
                <w:color w:val="17212B"/>
                <w:sz w:val="16"/>
              </w:rPr>
              <w:t>Give authorized reviewers enough administration capability to inspect and decide an application and preserve the review record.</w:t>
            </w:r>
          </w:p>
        </w:tc>
        <w:tc>
          <w:tcPr>
            <w:tcW w:type="dxa" w:w="4248"/>
            <w:shd w:fill="F3F5F7"/>
            <w:vAlign w:val="center"/>
            <w:tcMar>
              <w:top w:w="75" w:type="dxa"/>
              <w:start w:w="95" w:type="dxa"/>
              <w:bottom w:w="75" w:type="dxa"/>
              <w:end w:w="95" w:type="dxa"/>
            </w:tcMar>
          </w:tcPr>
          <w:p>
            <w:r/>
            <w:r>
              <w:rPr>
                <w:rFonts w:ascii="Aptos" w:hAnsi="Aptos"/>
                <w:b w:val="0"/>
                <w:color w:val="17212B"/>
                <w:sz w:val="16"/>
              </w:rPr>
              <w:t>An Admin/Super Admin can list/filter applications, inspect identity/location/hours/photos/documents, preview evidence, approve or reject, and produce an attributable review record.</w:t>
            </w:r>
          </w:p>
        </w:tc>
      </w:tr>
    </w:tbl>
    <w:p>
      <w:pPr>
        <w:spacing w:after="0"/>
      </w:pPr>
    </w:p>
    <w:p>
      <w:pPr>
        <w:pStyle w:val="Heading2"/>
      </w:pPr>
      <w:r>
        <w:t>Definition of a successful P1</w:t>
      </w:r>
    </w:p>
    <w:p>
      <w:pPr>
        <w:pStyle w:val="BulletCompact"/>
      </w:pPr>
      <w:r>
        <w:t>• The workflow is dependency-complete: identity → application → administrative decision → active business → Explorer visibility.</w:t>
      </w:r>
    </w:p>
    <w:p>
      <w:pPr>
        <w:pStyle w:val="BulletCompact"/>
      </w:pPr>
      <w:r>
        <w:t>• The visible UI state, API response, and stored application/business state agree at every transition.</w:t>
      </w:r>
    </w:p>
    <w:p>
      <w:pPr>
        <w:pStyle w:val="BulletCompact"/>
      </w:pPr>
      <w:r>
        <w:t>• No application becomes public before approval, and duplicate approval cannot create another business.</w:t>
      </w:r>
    </w:p>
    <w:p>
      <w:pPr>
        <w:pStyle w:val="BulletCompact"/>
      </w:pPr>
      <w:r>
        <w:t>• The team can explain which parts are baseline P1 behavior and which Discovery research claims remain for P2 validation.</w:t>
      </w:r>
    </w:p>
    <w:tbl>
      <w:tblPr>
        <w:tblW w:type="auto" w:w="0"/>
        <w:jc w:val="center"/>
        <w:tblLayout w:type="fixed"/>
        <w:tblLook w:firstColumn="1" w:firstRow="1" w:lastColumn="0" w:lastRow="0" w:noHBand="0" w:noVBand="1" w:val="04A0"/>
      </w:tblPr>
      <w:tblGrid>
        <w:gridCol w:w="4975"/>
        <w:gridCol w:w="4975"/>
      </w:tblGrid>
      <w:tr>
        <w:tc>
          <w:tcPr>
            <w:tcW w:type="dxa" w:w="144"/>
            <w:shd w:fill="D99A2B"/>
            <w:tcMar>
              <w:top w:w="0" w:type="dxa"/>
              <w:start w:w="0" w:type="dxa"/>
              <w:bottom w:w="0" w:type="dxa"/>
              <w:end w:w="0" w:type="dxa"/>
            </w:tcMar>
          </w:tcPr>
          <w:p/>
        </w:tc>
        <w:tc>
          <w:tcPr>
            <w:tcW w:type="dxa" w:w="9864"/>
            <w:shd w:fill="FFF5DF"/>
            <w:tcMar>
              <w:top w:w="120" w:type="dxa"/>
              <w:start w:w="150" w:type="dxa"/>
              <w:bottom w:w="120" w:type="dxa"/>
              <w:end w:w="150" w:type="dxa"/>
            </w:tcMar>
          </w:tcPr>
          <w:p>
            <w:r/>
            <w:r>
              <w:rPr>
                <w:rFonts w:ascii="Aptos Display" w:hAnsi="Aptos Display"/>
                <w:b/>
                <w:color w:val="D99A2B"/>
                <w:sz w:val="21"/>
              </w:rPr>
              <w:t>Important boundary</w:t>
            </w:r>
          </w:p>
          <w:p>
            <w:pPr>
              <w:pStyle w:val="BodyText"/>
              <w:spacing w:after="0"/>
            </w:pPr>
            <w:r>
              <w:t>P1 proves controlled publication and baseline discovery. It does not yet prove popularity-bias mitigation, randomized exposure, live trends, or final discovery quality. Those claims need a controlled dataset and evaluation in P2.</w:t>
            </w:r>
          </w:p>
        </w:tc>
      </w:tr>
    </w:tbl>
    <w:p>
      <w:pPr>
        <w:spacing w:after="0"/>
      </w:pPr>
    </w:p>
    <w:p>
      <w:r>
        <w:br w:type="page"/>
      </w:r>
    </w:p>
    <w:p>
      <w:pPr>
        <w:pStyle w:val="Heading1"/>
      </w:pPr>
      <w:r>
        <w:t>2. IAM demo task list</w:t>
      </w:r>
    </w:p>
    <w:p>
      <w:pPr>
        <w:pStyle w:val="BodyText"/>
        <w:spacing w:after="60"/>
      </w:pPr>
      <w:r>
        <w:rPr>
          <w:b/>
          <w:color w:val="17324D"/>
        </w:rPr>
        <w:t xml:space="preserve">Expected outcome  </w:t>
      </w:r>
      <w:r>
        <w:t>Each participant has one verifiable identity and a correctly constrained session. Authentication state and the mobile app's Explorer/Merchant presentation mode remain separate concerns.</w:t>
      </w:r>
    </w:p>
    <w:p>
      <w:pPr>
        <w:pStyle w:val="Heading2"/>
      </w:pPr>
      <w:r>
        <w:t>Before the demo</w:t>
      </w:r>
    </w:p>
    <w:p>
      <w:pPr>
        <w:pStyle w:val="Checklist"/>
      </w:pPr>
      <w:r>
        <w:t>[ ] Prepare active Explorer, submitted-applicant, approved Merchant, Admin, and Super Admin accounts.</w:t>
      </w:r>
    </w:p>
    <w:p>
      <w:pPr>
        <w:pStyle w:val="Checklist"/>
      </w:pPr>
      <w:r>
        <w:t>[ ] Prepare one suspended or disabled account for the negative access case.</w:t>
      </w:r>
    </w:p>
    <w:p>
      <w:pPr>
        <w:pStyle w:val="Checklist"/>
      </w:pPr>
      <w:r>
        <w:t>[ ] Confirm email verification/reset links and OAuth credentials only if those paths are included in the live demo.</w:t>
      </w:r>
    </w:p>
    <w:p>
      <w:pPr>
        <w:pStyle w:val="Checklist"/>
      </w:pPr>
      <w:r>
        <w:t>[ ] Clear prior mobile tokens and record the build/API environment being demonstrated.</w:t>
      </w:r>
    </w:p>
    <w:p>
      <w:pPr>
        <w:pStyle w:val="Heading2"/>
      </w:pPr>
      <w:r>
        <w:t>During the demo</w:t>
      </w:r>
    </w:p>
    <w:p>
      <w:pPr>
        <w:pStyle w:val="Checklist"/>
      </w:pPr>
      <w:r>
        <w:t>[ ] Register an Explorer and confirm required validation and email-verification behavior.</w:t>
      </w:r>
    </w:p>
    <w:p>
      <w:pPr>
        <w:pStyle w:val="Checklist"/>
      </w:pPr>
      <w:r>
        <w:t>[ ] Sign in with valid credentials and confirm the authenticated profile is returned.</w:t>
      </w:r>
    </w:p>
    <w:p>
      <w:pPr>
        <w:pStyle w:val="Checklist"/>
      </w:pPr>
      <w:r>
        <w:t>[ ] Close/reopen the app and confirm session restoration from protected token storage.</w:t>
      </w:r>
    </w:p>
    <w:p>
      <w:pPr>
        <w:pStyle w:val="Checklist"/>
      </w:pPr>
      <w:r>
        <w:t>[ ] Exercise token refresh or an expired-session path and confirm the user receives clear recovery feedback.</w:t>
      </w:r>
    </w:p>
    <w:p>
      <w:pPr>
        <w:pStyle w:val="Checklist"/>
      </w:pPr>
      <w:r>
        <w:t>[ ] Attempt a protected action while signed out and confirm access is denied.</w:t>
      </w:r>
    </w:p>
    <w:p>
      <w:pPr>
        <w:pStyle w:val="Checklist"/>
      </w:pPr>
      <w:r>
        <w:t>[ ] Attempt an Admin endpoint/screen as Explorer or Merchant and confirm it is denied.</w:t>
      </w:r>
    </w:p>
    <w:p>
      <w:pPr>
        <w:pStyle w:val="Checklist"/>
      </w:pPr>
      <w:r>
        <w:t>[ ] Attempt mobile Explorer access with a suspended/disabled account and confirm it is rejected.</w:t>
      </w:r>
    </w:p>
    <w:p>
      <w:pPr>
        <w:pStyle w:val="Checklist"/>
      </w:pPr>
      <w:r>
        <w:t>[ ] Sign out and confirm the refresh token is blacklisted/invalid and local credentials are cleared.</w:t>
      </w:r>
    </w:p>
    <w:p>
      <w:pPr>
        <w:pStyle w:val="Checklist"/>
      </w:pPr>
      <w:r>
        <w:t>[ ] After SAG approval, refresh the applicant profile and confirm the role is Merchant.</w:t>
      </w:r>
    </w:p>
    <w:p>
      <w:pPr>
        <w:pStyle w:val="Checklist"/>
      </w:pPr>
      <w:r>
        <w:t>[ ] Acknowledge Merchant Mode, switch to it, then return to Explorer mode without creating a second identity.</w:t>
      </w:r>
    </w:p>
    <w:p>
      <w:pPr>
        <w:pStyle w:val="Heading2"/>
      </w:pPr>
      <w:r>
        <w:t>Evidence to retain</w:t>
      </w:r>
    </w:p>
    <w:p>
      <w:pPr>
        <w:pStyle w:val="BulletCompact"/>
      </w:pPr>
      <w:r>
        <w:t>• Pass/fail matrix by account role, endpoint/screen, and expected authorization result.</w:t>
      </w:r>
    </w:p>
    <w:p>
      <w:pPr>
        <w:pStyle w:val="BulletCompact"/>
      </w:pPr>
      <w:r>
        <w:t>• Screenshots or API evidence for registration, session restoration, denial, logout, role promotion, and mode switching.</w:t>
      </w:r>
    </w:p>
    <w:p>
      <w:pPr>
        <w:pStyle w:val="BulletCompact"/>
      </w:pPr>
      <w:r>
        <w:t>• Token lifetime/configuration version: 15-minute access; shortened refresh when Remember Me is off; 30-day default refresh when enabled; rotation and blacklist enabled.</w:t>
      </w:r>
    </w:p>
    <w:p>
      <w:r>
        <w:br w:type="page"/>
      </w:r>
    </w:p>
    <w:p>
      <w:pPr>
        <w:pStyle w:val="Heading1"/>
      </w:pPr>
      <w:r>
        <w:t>3. SAG and approval demo task list</w:t>
      </w:r>
    </w:p>
    <w:p>
      <w:pPr>
        <w:pStyle w:val="BodyText"/>
        <w:spacing w:after="60"/>
      </w:pPr>
      <w:r>
        <w:rPr>
          <w:b/>
          <w:color w:val="17324D"/>
        </w:rPr>
        <w:t xml:space="preserve">Expected outcome  </w:t>
      </w:r>
      <w:r>
        <w:t>A valid MSME application moves through a controlled, auditable lifecycle and approval publishes exactly one complete active business.</w:t>
      </w:r>
    </w:p>
    <w:p>
      <w:pPr>
        <w:pStyle w:val="Heading2"/>
      </w:pPr>
      <w:r>
        <w:t>Application preparation</w:t>
      </w:r>
    </w:p>
    <w:p>
      <w:pPr>
        <w:pStyle w:val="Checklist"/>
      </w:pPr>
      <w:r>
        <w:t>[ ] Start as an Explorer with no application and open the Merchant Portal.</w:t>
      </w:r>
    </w:p>
    <w:p>
      <w:pPr>
        <w:pStyle w:val="Checklist"/>
      </w:pPr>
      <w:r>
        <w:t>[ ] Complete business identity, cluster/category, exactly three specialty tags, representative details, and contact information.</w:t>
      </w:r>
    </w:p>
    <w:p>
      <w:pPr>
        <w:pStyle w:val="Checklist"/>
      </w:pPr>
      <w:r>
        <w:t>[ ] Select a PostGIS-backed location and confirm nearby/custom landmark data.</w:t>
      </w:r>
    </w:p>
    <w:p>
      <w:pPr>
        <w:pStyle w:val="Checklist"/>
      </w:pPr>
      <w:r>
        <w:t>[ ] Complete all seven operating-hour records with at least one open day.</w:t>
      </w:r>
    </w:p>
    <w:p>
      <w:pPr>
        <w:pStyle w:val="Checklist"/>
      </w:pPr>
      <w:r>
        <w:t>[ ] Upload at least one storefront photo and the required business-registration document.</w:t>
      </w:r>
    </w:p>
    <w:p>
      <w:pPr>
        <w:pStyle w:val="Checklist"/>
      </w:pPr>
      <w:r>
        <w:t>[ ] Leave and resume the draft; confirm the highest completed step and saved records are restored.</w:t>
      </w:r>
    </w:p>
    <w:p>
      <w:pPr>
        <w:pStyle w:val="Heading2"/>
      </w:pPr>
      <w:r>
        <w:t>Submission and review</w:t>
      </w:r>
    </w:p>
    <w:p>
      <w:pPr>
        <w:pStyle w:val="Checklist"/>
      </w:pPr>
      <w:r>
        <w:t>[ ] Attempt an incomplete submission and confirm field/section errors prevent submission.</w:t>
      </w:r>
    </w:p>
    <w:p>
      <w:pPr>
        <w:pStyle w:val="Checklist"/>
      </w:pPr>
      <w:r>
        <w:t>[ ] Attempt a category/cluster mismatch and confirm it is rejected before publication.</w:t>
      </w:r>
    </w:p>
    <w:p>
      <w:pPr>
        <w:pStyle w:val="Checklist"/>
      </w:pPr>
      <w:r>
        <w:t>[ ] Submit the valid application; confirm status, submission number/history, and submitted timestamp.</w:t>
      </w:r>
    </w:p>
    <w:p>
      <w:pPr>
        <w:pStyle w:val="Checklist"/>
      </w:pPr>
      <w:r>
        <w:t>[ ] Confirm submitted records cannot be edited while under review.</w:t>
      </w:r>
    </w:p>
    <w:p>
      <w:pPr>
        <w:pStyle w:val="Checklist"/>
      </w:pPr>
      <w:r>
        <w:t>[ ] As Admin, filter/find the application and review every section, map/location, photo, and protected document preview.</w:t>
      </w:r>
    </w:p>
    <w:p>
      <w:pPr>
        <w:pStyle w:val="Checklist"/>
      </w:pPr>
      <w:r>
        <w:t>[ ] Reject one rehearsal case with section-specific feedback; confirm no Business is created and the applicant remains Explorer.</w:t>
      </w:r>
    </w:p>
    <w:p>
      <w:pPr>
        <w:pStyle w:val="Checklist"/>
      </w:pPr>
      <w:r>
        <w:t>[ ] Correct and resubmit the rejected case; confirm prior submission/review history remains attributable.</w:t>
      </w:r>
    </w:p>
    <w:p>
      <w:pPr>
        <w:pStyle w:val="Checklist"/>
      </w:pPr>
      <w:r>
        <w:t>[ ] Approve the submitted case; confirm the reviewer, decision time, and review-SLA result are stored.</w:t>
      </w:r>
    </w:p>
    <w:p>
      <w:pPr>
        <w:pStyle w:val="Heading2"/>
      </w:pPr>
      <w:r>
        <w:t>Approval publication checks</w:t>
      </w:r>
    </w:p>
    <w:p>
      <w:pPr>
        <w:pStyle w:val="Checklist"/>
      </w:pPr>
      <w:r>
        <w:t>[ ] Confirm exactly one permanent Business is linked to the application and has ACTIVE status.</w:t>
      </w:r>
    </w:p>
    <w:p>
      <w:pPr>
        <w:pStyle w:val="Checklist"/>
      </w:pPr>
      <w:r>
        <w:t>[ ] Confirm identity, location, landmarks, seven operating-hour records, photos, category, cluster, and three active specialty links were copied correctly.</w:t>
      </w:r>
    </w:p>
    <w:p>
      <w:pPr>
        <w:pStyle w:val="Checklist"/>
      </w:pPr>
      <w:r>
        <w:t>[ ] Confirm the applicant role changed from Explorer to Merchant.</w:t>
      </w:r>
    </w:p>
    <w:p>
      <w:pPr>
        <w:pStyle w:val="Checklist"/>
      </w:pPr>
      <w:r>
        <w:t>[ ] Confirm a second approval attempt fails and does not duplicate the business or review.</w:t>
      </w:r>
    </w:p>
    <w:p>
      <w:pPr>
        <w:pStyle w:val="Checklist"/>
      </w:pPr>
      <w:r>
        <w:t>[ ] Confirm document access remains restricted to authorized reviewers and raw verification documents are not exposed on the Explorer business profile.</w:t>
      </w:r>
    </w:p>
    <w:p>
      <w:r>
        <w:br w:type="page"/>
      </w:r>
    </w:p>
    <w:p>
      <w:pPr>
        <w:pStyle w:val="Heading1"/>
      </w:pPr>
      <w:r>
        <w:t>4. Discovery baseline demo task list</w:t>
      </w:r>
    </w:p>
    <w:p>
      <w:pPr>
        <w:pStyle w:val="BodyText"/>
        <w:spacing w:after="60"/>
      </w:pPr>
      <w:r>
        <w:rPr>
          <w:b/>
          <w:color w:val="17324D"/>
        </w:rPr>
        <w:t xml:space="preserve">Expected outcome  </w:t>
      </w:r>
      <w:r>
        <w:t>Only active approved businesses are discoverable. Hidden Gems uses a transparent, stored score when available and a deterministic fallback when a new business has not yet been scored.</w:t>
      </w:r>
    </w:p>
    <w:p>
      <w:pPr>
        <w:pStyle w:val="Heading2"/>
      </w:pPr>
      <w:r>
        <w:t>Publication and visibility</w:t>
      </w:r>
    </w:p>
    <w:p>
      <w:pPr>
        <w:pStyle w:val="Checklist"/>
      </w:pPr>
      <w:r>
        <w:t>[ ] Before approval, search the Explorer feed and confirm the applicant has no public business result.</w:t>
      </w:r>
    </w:p>
    <w:p>
      <w:pPr>
        <w:pStyle w:val="Checklist"/>
      </w:pPr>
      <w:r>
        <w:t>[ ] Immediately after approval, refresh the feed and confirm the active business appears even before its first Discovery Score run.</w:t>
      </w:r>
    </w:p>
    <w:p>
      <w:pPr>
        <w:pStyle w:val="Checklist"/>
      </w:pPr>
      <w:r>
        <w:t>[ ] Open the business profile and verify name, category/cluster, specialties, location, hours, landmarks, and public photos.</w:t>
      </w:r>
    </w:p>
    <w:p>
      <w:pPr>
        <w:pStyle w:val="Checklist"/>
      </w:pPr>
      <w:r>
        <w:t>[ ] Search/filter by name, category, cluster, and specialty; confirm only active businesses are returned.</w:t>
      </w:r>
    </w:p>
    <w:p>
      <w:pPr>
        <w:pStyle w:val="Checklist"/>
      </w:pPr>
      <w:r>
        <w:t>[ ] Record an impression and profile visit for an authenticated Explorer and verify daily deduplication behavior.</w:t>
      </w:r>
    </w:p>
    <w:p>
      <w:pPr>
        <w:pStyle w:val="Heading2"/>
      </w:pPr>
      <w:r>
        <w:t>Scoring and ordering</w:t>
      </w:r>
    </w:p>
    <w:p>
      <w:pPr>
        <w:pStyle w:val="Checklist"/>
      </w:pPr>
      <w:r>
        <w:t>[ ] Prepare at least five comparable active businesses where possible so category-level comparison does not immediately fall back to cluster/platform.</w:t>
      </w:r>
    </w:p>
    <w:p>
      <w:pPr>
        <w:pStyle w:val="Checklist"/>
      </w:pPr>
      <w:r>
        <w:t>[ ] Prepare valid specialty vouches and 30-day visibility events: impressions, profile visits, and unique saves.</w:t>
      </w:r>
    </w:p>
    <w:p>
      <w:pPr>
        <w:pStyle w:val="Checklist"/>
      </w:pPr>
      <w:r>
        <w:t>[ ] Run the scheduled/manual score recomputation in the controlled environment and record component inputs and output.</w:t>
      </w:r>
    </w:p>
    <w:p>
      <w:pPr>
        <w:pStyle w:val="Checklist"/>
      </w:pPr>
      <w:r>
        <w:t>[ ] Verify the current formula: Discovery Score = 80% Specialty Score + 20% Visibility Gap.</w:t>
      </w:r>
    </w:p>
    <w:p>
      <w:pPr>
        <w:pStyle w:val="Checklist"/>
      </w:pPr>
      <w:r>
        <w:t>[ ] Verify visibility traction uses 60% impressions, 20% profile visits, and 20% unique savers; Visibility Gap = 1 − traction.</w:t>
      </w:r>
    </w:p>
    <w:p>
      <w:pPr>
        <w:pStyle w:val="Checklist"/>
      </w:pPr>
      <w:r>
        <w:t>[ ] Verify Hidden Gems ordering: Discovery Score descending, then newest business, then lowest business ID.</w:t>
      </w:r>
    </w:p>
    <w:p>
      <w:pPr>
        <w:pStyle w:val="Checklist"/>
      </w:pPr>
      <w:r>
        <w:t>[ ] Repeat the same dataset/configuration and confirm the same ordering; document that this is deterministic rather than randomized.</w:t>
      </w:r>
    </w:p>
    <w:p>
      <w:pPr>
        <w:pStyle w:val="Checklist"/>
      </w:pPr>
      <w:r>
        <w:t>[ ] Temporarily make visibility tracking unavailable and confirm the team can explain current 503/cooldown, retry, and stale-score behavior.</w:t>
      </w:r>
    </w:p>
    <w:p>
      <w:pPr>
        <w:pStyle w:val="Heading2"/>
      </w:pPr>
      <w:r>
        <w:t>Evidence to retain</w:t>
      </w:r>
    </w:p>
    <w:p>
      <w:pPr>
        <w:pStyle w:val="BulletCompact"/>
      </w:pPr>
      <w:r>
        <w:t>• Before/after approval feed evidence and the permanent business record.</w:t>
      </w:r>
    </w:p>
    <w:p>
      <w:pPr>
        <w:pStyle w:val="BulletCompact"/>
      </w:pPr>
      <w:r>
        <w:t>• A worked score example with configuration, vouch evidence, visibility counts, comparison group, and final score.</w:t>
      </w:r>
    </w:p>
    <w:p>
      <w:pPr>
        <w:pStyle w:val="BulletCompact"/>
      </w:pPr>
      <w:r>
        <w:t>• A ranked output table for the frozen demo dataset and the timestamp of the last recomputation.</w:t>
      </w:r>
    </w:p>
    <w:p>
      <w:pPr>
        <w:pStyle w:val="BulletCompact"/>
      </w:pPr>
      <w:r>
        <w:t>• A clear list of unproven P2 claims: fairness/popularity-bias mitigation, rotation, trends, and recommendation quality.</w:t>
      </w:r>
    </w:p>
    <w:p>
      <w:r>
        <w:br w:type="page"/>
      </w:r>
    </w:p>
    <w:p>
      <w:pPr>
        <w:pStyle w:val="Heading1"/>
      </w:pPr>
      <w:r>
        <w:t>5. Technologies used in Prototype 1</w:t>
      </w:r>
    </w:p>
    <w:tbl>
      <w:tblPr>
        <w:tblStyle w:val="TableGrid"/>
        <w:tblW w:type="auto" w:w="0"/>
        <w:jc w:val="center"/>
        <w:tblLook w:firstColumn="1" w:firstRow="1" w:lastColumn="0" w:lastRow="0" w:noHBand="0" w:noVBand="1" w:val="04A0"/>
      </w:tblPr>
      <w:tblGrid>
        <w:gridCol w:w="3317"/>
        <w:gridCol w:w="3317"/>
        <w:gridCol w:w="3317"/>
      </w:tblGrid>
      <w:tr>
        <w:trPr>
          <w:tblHeader w:val="true"/>
        </w:trPr>
        <w:tc>
          <w:tcPr>
            <w:tcW w:type="dxa" w:w="2088"/>
            <w:shd w:fill="17324D"/>
            <w:vAlign w:val="center"/>
            <w:tcMar>
              <w:top w:w="75" w:type="dxa"/>
              <w:start w:w="95" w:type="dxa"/>
              <w:bottom w:w="75" w:type="dxa"/>
              <w:end w:w="95" w:type="dxa"/>
            </w:tcMar>
          </w:tcPr>
          <w:p>
            <w:r/>
            <w:r>
              <w:rPr>
                <w:rFonts w:ascii="Aptos" w:hAnsi="Aptos"/>
                <w:b/>
                <w:color w:val="FFFFFF"/>
                <w:sz w:val="16"/>
              </w:rPr>
              <w:t>Technology</w:t>
            </w:r>
          </w:p>
        </w:tc>
        <w:tc>
          <w:tcPr>
            <w:tcW w:type="dxa" w:w="3816"/>
            <w:shd w:fill="17324D"/>
            <w:vAlign w:val="center"/>
            <w:tcMar>
              <w:top w:w="75" w:type="dxa"/>
              <w:start w:w="95" w:type="dxa"/>
              <w:bottom w:w="75" w:type="dxa"/>
              <w:end w:w="95" w:type="dxa"/>
            </w:tcMar>
          </w:tcPr>
          <w:p>
            <w:r/>
            <w:r>
              <w:rPr>
                <w:rFonts w:ascii="Aptos" w:hAnsi="Aptos"/>
                <w:b/>
                <w:color w:val="FFFFFF"/>
                <w:sz w:val="16"/>
              </w:rPr>
              <w:t>P1 responsibility</w:t>
            </w:r>
          </w:p>
        </w:tc>
        <w:tc>
          <w:tcPr>
            <w:tcW w:type="dxa" w:w="4032"/>
            <w:shd w:fill="17324D"/>
            <w:vAlign w:val="center"/>
            <w:tcMar>
              <w:top w:w="75" w:type="dxa"/>
              <w:start w:w="95" w:type="dxa"/>
              <w:bottom w:w="75" w:type="dxa"/>
              <w:end w:w="95" w:type="dxa"/>
            </w:tcMar>
          </w:tcPr>
          <w:p>
            <w:r/>
            <w:r>
              <w:rPr>
                <w:rFonts w:ascii="Aptos" w:hAnsi="Aptos"/>
                <w:b/>
                <w:color w:val="FFFFFF"/>
                <w:sz w:val="16"/>
              </w:rPr>
              <w:t>Reason / demo implication</w:t>
            </w:r>
          </w:p>
        </w:tc>
      </w:tr>
      <w:tr>
        <w:trPr>
          <w:cantSplit/>
        </w:trPr>
        <w:tc>
          <w:tcPr>
            <w:tcW w:type="dxa" w:w="2088"/>
            <w:shd w:fill="FFFFFF"/>
            <w:vAlign w:val="center"/>
            <w:tcMar>
              <w:top w:w="75" w:type="dxa"/>
              <w:start w:w="95" w:type="dxa"/>
              <w:bottom w:w="75" w:type="dxa"/>
              <w:end w:w="95" w:type="dxa"/>
            </w:tcMar>
          </w:tcPr>
          <w:p>
            <w:r/>
            <w:r>
              <w:rPr>
                <w:rFonts w:ascii="Aptos" w:hAnsi="Aptos"/>
                <w:b w:val="0"/>
                <w:color w:val="17212B"/>
                <w:sz w:val="15"/>
              </w:rPr>
              <w:t>Django 6 + Django REST Framework</w:t>
            </w:r>
          </w:p>
        </w:tc>
        <w:tc>
          <w:tcPr>
            <w:tcW w:type="dxa" w:w="3816"/>
            <w:shd w:fill="FFFFFF"/>
            <w:vAlign w:val="center"/>
            <w:tcMar>
              <w:top w:w="75" w:type="dxa"/>
              <w:start w:w="95" w:type="dxa"/>
              <w:bottom w:w="75" w:type="dxa"/>
              <w:end w:w="95" w:type="dxa"/>
            </w:tcMar>
          </w:tcPr>
          <w:p>
            <w:r/>
            <w:r>
              <w:rPr>
                <w:rFonts w:ascii="Aptos" w:hAnsi="Aptos"/>
                <w:b w:val="0"/>
                <w:color w:val="17212B"/>
                <w:sz w:val="15"/>
              </w:rPr>
              <w:t>IAM, merchant application, admin review, business publication, discovery and profile APIs.</w:t>
            </w:r>
          </w:p>
        </w:tc>
        <w:tc>
          <w:tcPr>
            <w:tcW w:type="dxa" w:w="4032"/>
            <w:shd w:fill="FFFFFF"/>
            <w:vAlign w:val="center"/>
            <w:tcMar>
              <w:top w:w="75" w:type="dxa"/>
              <w:start w:w="95" w:type="dxa"/>
              <w:bottom w:w="75" w:type="dxa"/>
              <w:end w:w="95" w:type="dxa"/>
            </w:tcMar>
          </w:tcPr>
          <w:p>
            <w:r/>
            <w:r>
              <w:rPr>
                <w:rFonts w:ascii="Aptos" w:hAnsi="Aptos"/>
                <w:b w:val="0"/>
                <w:color w:val="17212B"/>
                <w:sz w:val="15"/>
              </w:rPr>
              <w:t>Keeps authorization, validation, and state transitions in the server. Demonstrate through real APIs rather than UI-only state.</w:t>
            </w:r>
          </w:p>
        </w:tc>
      </w:tr>
      <w:tr>
        <w:trPr>
          <w:cantSplit/>
        </w:trPr>
        <w:tc>
          <w:tcPr>
            <w:tcW w:type="dxa" w:w="2088"/>
            <w:shd w:fill="F3F5F7"/>
            <w:vAlign w:val="center"/>
            <w:tcMar>
              <w:top w:w="75" w:type="dxa"/>
              <w:start w:w="95" w:type="dxa"/>
              <w:bottom w:w="75" w:type="dxa"/>
              <w:end w:w="95" w:type="dxa"/>
            </w:tcMar>
          </w:tcPr>
          <w:p>
            <w:r/>
            <w:r>
              <w:rPr>
                <w:rFonts w:ascii="Aptos" w:hAnsi="Aptos"/>
                <w:b w:val="0"/>
                <w:color w:val="17212B"/>
                <w:sz w:val="15"/>
              </w:rPr>
              <w:t>Simple JWT</w:t>
            </w:r>
          </w:p>
        </w:tc>
        <w:tc>
          <w:tcPr>
            <w:tcW w:type="dxa" w:w="3816"/>
            <w:shd w:fill="F3F5F7"/>
            <w:vAlign w:val="center"/>
            <w:tcMar>
              <w:top w:w="75" w:type="dxa"/>
              <w:start w:w="95" w:type="dxa"/>
              <w:bottom w:w="75" w:type="dxa"/>
              <w:end w:w="95" w:type="dxa"/>
            </w:tcMar>
          </w:tcPr>
          <w:p>
            <w:r/>
            <w:r>
              <w:rPr>
                <w:rFonts w:ascii="Aptos" w:hAnsi="Aptos"/>
                <w:b w:val="0"/>
                <w:color w:val="17212B"/>
                <w:sz w:val="15"/>
              </w:rPr>
              <w:t>Access/refresh tokens, rotation, blacklisting, logout, and role-protected APIs.</w:t>
            </w:r>
          </w:p>
        </w:tc>
        <w:tc>
          <w:tcPr>
            <w:tcW w:type="dxa" w:w="4032"/>
            <w:shd w:fill="F3F5F7"/>
            <w:vAlign w:val="center"/>
            <w:tcMar>
              <w:top w:w="75" w:type="dxa"/>
              <w:start w:w="95" w:type="dxa"/>
              <w:bottom w:w="75" w:type="dxa"/>
              <w:end w:w="95" w:type="dxa"/>
            </w:tcMar>
          </w:tcPr>
          <w:p>
            <w:r/>
            <w:r>
              <w:rPr>
                <w:rFonts w:ascii="Aptos" w:hAnsi="Aptos"/>
                <w:b w:val="0"/>
                <w:color w:val="17212B"/>
                <w:sz w:val="15"/>
              </w:rPr>
              <w:t>Supports stateless mobile/web sessions. Verify expiry, refresh, revocation, and denied-role cases.</w:t>
            </w:r>
          </w:p>
        </w:tc>
      </w:tr>
      <w:tr>
        <w:trPr>
          <w:cantSplit/>
        </w:trPr>
        <w:tc>
          <w:tcPr>
            <w:tcW w:type="dxa" w:w="2088"/>
            <w:shd w:fill="FFFFFF"/>
            <w:vAlign w:val="center"/>
            <w:tcMar>
              <w:top w:w="75" w:type="dxa"/>
              <w:start w:w="95" w:type="dxa"/>
              <w:bottom w:w="75" w:type="dxa"/>
              <w:end w:w="95" w:type="dxa"/>
            </w:tcMar>
          </w:tcPr>
          <w:p>
            <w:r/>
            <w:r>
              <w:rPr>
                <w:rFonts w:ascii="Aptos" w:hAnsi="Aptos"/>
                <w:b w:val="0"/>
                <w:color w:val="17212B"/>
                <w:sz w:val="15"/>
              </w:rPr>
              <w:t>PostgreSQL + PostGIS</w:t>
            </w:r>
          </w:p>
        </w:tc>
        <w:tc>
          <w:tcPr>
            <w:tcW w:type="dxa" w:w="3816"/>
            <w:shd w:fill="FFFFFF"/>
            <w:vAlign w:val="center"/>
            <w:tcMar>
              <w:top w:w="75" w:type="dxa"/>
              <w:start w:w="95" w:type="dxa"/>
              <w:bottom w:w="75" w:type="dxa"/>
              <w:end w:w="95" w:type="dxa"/>
            </w:tcMar>
          </w:tcPr>
          <w:p>
            <w:r/>
            <w:r>
              <w:rPr>
                <w:rFonts w:ascii="Aptos" w:hAnsi="Aptos"/>
                <w:b w:val="0"/>
                <w:color w:val="17212B"/>
                <w:sz w:val="15"/>
              </w:rPr>
              <w:t>Authoritative users, applications, businesses, taxonomy, scores, and spatial location/landmark data.</w:t>
            </w:r>
          </w:p>
        </w:tc>
        <w:tc>
          <w:tcPr>
            <w:tcW w:type="dxa" w:w="4032"/>
            <w:shd w:fill="FFFFFF"/>
            <w:vAlign w:val="center"/>
            <w:tcMar>
              <w:top w:w="75" w:type="dxa"/>
              <w:start w:w="95" w:type="dxa"/>
              <w:bottom w:w="75" w:type="dxa"/>
              <w:end w:w="95" w:type="dxa"/>
            </w:tcMar>
          </w:tcPr>
          <w:p>
            <w:r/>
            <w:r>
              <w:rPr>
                <w:rFonts w:ascii="Aptos" w:hAnsi="Aptos"/>
                <w:b w:val="0"/>
                <w:color w:val="17212B"/>
                <w:sz w:val="15"/>
              </w:rPr>
              <w:t>Transactions protect approval publication; PostGIS stores SRID 4326 points. Verify copied spatial/business records.</w:t>
            </w:r>
          </w:p>
        </w:tc>
      </w:tr>
      <w:tr>
        <w:trPr>
          <w:cantSplit/>
        </w:trPr>
        <w:tc>
          <w:tcPr>
            <w:tcW w:type="dxa" w:w="2088"/>
            <w:shd w:fill="F3F5F7"/>
            <w:vAlign w:val="center"/>
            <w:tcMar>
              <w:top w:w="75" w:type="dxa"/>
              <w:start w:w="95" w:type="dxa"/>
              <w:bottom w:w="75" w:type="dxa"/>
              <w:end w:w="95" w:type="dxa"/>
            </w:tcMar>
          </w:tcPr>
          <w:p>
            <w:r/>
            <w:r>
              <w:rPr>
                <w:rFonts w:ascii="Aptos" w:hAnsi="Aptos"/>
                <w:b w:val="0"/>
                <w:color w:val="17212B"/>
                <w:sz w:val="15"/>
              </w:rPr>
              <w:t>MongoDB</w:t>
            </w:r>
          </w:p>
        </w:tc>
        <w:tc>
          <w:tcPr>
            <w:tcW w:type="dxa" w:w="3816"/>
            <w:shd w:fill="F3F5F7"/>
            <w:vAlign w:val="center"/>
            <w:tcMar>
              <w:top w:w="75" w:type="dxa"/>
              <w:start w:w="95" w:type="dxa"/>
              <w:bottom w:w="75" w:type="dxa"/>
              <w:end w:w="95" w:type="dxa"/>
            </w:tcMar>
          </w:tcPr>
          <w:p>
            <w:r/>
            <w:r>
              <w:rPr>
                <w:rFonts w:ascii="Aptos" w:hAnsi="Aptos"/>
                <w:b w:val="0"/>
                <w:color w:val="17212B"/>
                <w:sz w:val="15"/>
              </w:rPr>
              <w:t>Minimal deduplicated visibility events: impression, profile visit, and save.</w:t>
            </w:r>
          </w:p>
        </w:tc>
        <w:tc>
          <w:tcPr>
            <w:tcW w:type="dxa" w:w="4032"/>
            <w:shd w:fill="F3F5F7"/>
            <w:vAlign w:val="center"/>
            <w:tcMar>
              <w:top w:w="75" w:type="dxa"/>
              <w:start w:w="95" w:type="dxa"/>
              <w:bottom w:w="75" w:type="dxa"/>
              <w:end w:w="95" w:type="dxa"/>
            </w:tcMar>
          </w:tcPr>
          <w:p>
            <w:r/>
            <w:r>
              <w:rPr>
                <w:rFonts w:ascii="Aptos" w:hAnsi="Aptos"/>
                <w:b w:val="0"/>
                <w:color w:val="17212B"/>
                <w:sz w:val="15"/>
              </w:rPr>
              <w:t>Fits event aggregation without making it the source of truth for the business. Explain failure/degraded behavior.</w:t>
            </w:r>
          </w:p>
        </w:tc>
      </w:tr>
      <w:tr>
        <w:trPr>
          <w:cantSplit/>
        </w:trPr>
        <w:tc>
          <w:tcPr>
            <w:tcW w:type="dxa" w:w="2088"/>
            <w:shd w:fill="FFFFFF"/>
            <w:vAlign w:val="center"/>
            <w:tcMar>
              <w:top w:w="75" w:type="dxa"/>
              <w:start w:w="95" w:type="dxa"/>
              <w:bottom w:w="75" w:type="dxa"/>
              <w:end w:w="95" w:type="dxa"/>
            </w:tcMar>
          </w:tcPr>
          <w:p>
            <w:r/>
            <w:r>
              <w:rPr>
                <w:rFonts w:ascii="Aptos" w:hAnsi="Aptos"/>
                <w:b w:val="0"/>
                <w:color w:val="17212B"/>
                <w:sz w:val="15"/>
              </w:rPr>
              <w:t>Redis + Celery Beat</w:t>
            </w:r>
          </w:p>
        </w:tc>
        <w:tc>
          <w:tcPr>
            <w:tcW w:type="dxa" w:w="3816"/>
            <w:shd w:fill="FFFFFF"/>
            <w:vAlign w:val="center"/>
            <w:tcMar>
              <w:top w:w="75" w:type="dxa"/>
              <w:start w:w="95" w:type="dxa"/>
              <w:bottom w:w="75" w:type="dxa"/>
              <w:end w:w="95" w:type="dxa"/>
            </w:tcMar>
          </w:tcPr>
          <w:p>
            <w:r/>
            <w:r>
              <w:rPr>
                <w:rFonts w:ascii="Aptos" w:hAnsi="Aptos"/>
                <w:b w:val="0"/>
                <w:color w:val="17212B"/>
                <w:sz w:val="15"/>
              </w:rPr>
              <w:t>Background daily Discovery Score recomputation and retries.</w:t>
            </w:r>
          </w:p>
        </w:tc>
        <w:tc>
          <w:tcPr>
            <w:tcW w:type="dxa" w:w="4032"/>
            <w:shd w:fill="FFFFFF"/>
            <w:vAlign w:val="center"/>
            <w:tcMar>
              <w:top w:w="75" w:type="dxa"/>
              <w:start w:w="95" w:type="dxa"/>
              <w:bottom w:w="75" w:type="dxa"/>
              <w:end w:w="95" w:type="dxa"/>
            </w:tcMar>
          </w:tcPr>
          <w:p>
            <w:r/>
            <w:r>
              <w:rPr>
                <w:rFonts w:ascii="Aptos" w:hAnsi="Aptos"/>
                <w:b w:val="0"/>
                <w:color w:val="17212B"/>
                <w:sz w:val="15"/>
              </w:rPr>
              <w:t>Avoids recalculating the full score during feed requests. Show freshness and controlled recomputation evidence.</w:t>
            </w:r>
          </w:p>
        </w:tc>
      </w:tr>
      <w:tr>
        <w:trPr>
          <w:cantSplit/>
        </w:trPr>
        <w:tc>
          <w:tcPr>
            <w:tcW w:type="dxa" w:w="2088"/>
            <w:shd w:fill="F3F5F7"/>
            <w:vAlign w:val="center"/>
            <w:tcMar>
              <w:top w:w="75" w:type="dxa"/>
              <w:start w:w="95" w:type="dxa"/>
              <w:bottom w:w="75" w:type="dxa"/>
              <w:end w:w="95" w:type="dxa"/>
            </w:tcMar>
          </w:tcPr>
          <w:p>
            <w:r/>
            <w:r>
              <w:rPr>
                <w:rFonts w:ascii="Aptos" w:hAnsi="Aptos"/>
                <w:b w:val="0"/>
                <w:color w:val="17212B"/>
                <w:sz w:val="15"/>
              </w:rPr>
              <w:t>Cloudinary</w:t>
            </w:r>
          </w:p>
        </w:tc>
        <w:tc>
          <w:tcPr>
            <w:tcW w:type="dxa" w:w="3816"/>
            <w:shd w:fill="F3F5F7"/>
            <w:vAlign w:val="center"/>
            <w:tcMar>
              <w:top w:w="75" w:type="dxa"/>
              <w:start w:w="95" w:type="dxa"/>
              <w:bottom w:w="75" w:type="dxa"/>
              <w:end w:w="95" w:type="dxa"/>
            </w:tcMar>
          </w:tcPr>
          <w:p>
            <w:r/>
            <w:r>
              <w:rPr>
                <w:rFonts w:ascii="Aptos" w:hAnsi="Aptos"/>
                <w:b w:val="0"/>
                <w:color w:val="17212B"/>
                <w:sz w:val="15"/>
              </w:rPr>
              <w:t>Application photos/documents and permanent business photos.</w:t>
            </w:r>
          </w:p>
        </w:tc>
        <w:tc>
          <w:tcPr>
            <w:tcW w:type="dxa" w:w="4032"/>
            <w:shd w:fill="F3F5F7"/>
            <w:vAlign w:val="center"/>
            <w:tcMar>
              <w:top w:w="75" w:type="dxa"/>
              <w:start w:w="95" w:type="dxa"/>
              <w:bottom w:w="75" w:type="dxa"/>
              <w:end w:w="95" w:type="dxa"/>
            </w:tcMar>
          </w:tcPr>
          <w:p>
            <w:r/>
            <w:r>
              <w:rPr>
                <w:rFonts w:ascii="Aptos" w:hAnsi="Aptos"/>
                <w:b w:val="0"/>
                <w:color w:val="17212B"/>
                <w:sz w:val="15"/>
              </w:rPr>
              <w:t>Supports managed media. Verify authorization for documents and copied public-photo references after approval.</w:t>
            </w:r>
          </w:p>
        </w:tc>
      </w:tr>
      <w:tr>
        <w:trPr>
          <w:cantSplit/>
        </w:trPr>
        <w:tc>
          <w:tcPr>
            <w:tcW w:type="dxa" w:w="2088"/>
            <w:shd w:fill="FFFFFF"/>
            <w:vAlign w:val="center"/>
            <w:tcMar>
              <w:top w:w="75" w:type="dxa"/>
              <w:start w:w="95" w:type="dxa"/>
              <w:bottom w:w="75" w:type="dxa"/>
              <w:end w:w="95" w:type="dxa"/>
            </w:tcMar>
          </w:tcPr>
          <w:p>
            <w:r/>
            <w:r>
              <w:rPr>
                <w:rFonts w:ascii="Aptos" w:hAnsi="Aptos"/>
                <w:b w:val="0"/>
                <w:color w:val="17212B"/>
                <w:sz w:val="15"/>
              </w:rPr>
              <w:t>Google services</w:t>
            </w:r>
          </w:p>
        </w:tc>
        <w:tc>
          <w:tcPr>
            <w:tcW w:type="dxa" w:w="3816"/>
            <w:shd w:fill="FFFFFF"/>
            <w:vAlign w:val="center"/>
            <w:tcMar>
              <w:top w:w="75" w:type="dxa"/>
              <w:start w:w="95" w:type="dxa"/>
              <w:bottom w:w="75" w:type="dxa"/>
              <w:end w:w="95" w:type="dxa"/>
            </w:tcMar>
          </w:tcPr>
          <w:p>
            <w:r/>
            <w:r>
              <w:rPr>
                <w:rFonts w:ascii="Aptos" w:hAnsi="Aptos"/>
                <w:b w:val="0"/>
                <w:color w:val="17212B"/>
                <w:sz w:val="15"/>
              </w:rPr>
              <w:t>Google OAuth and application location/landmark assistance where configured.</w:t>
            </w:r>
          </w:p>
        </w:tc>
        <w:tc>
          <w:tcPr>
            <w:tcW w:type="dxa" w:w="4032"/>
            <w:shd w:fill="FFFFFF"/>
            <w:vAlign w:val="center"/>
            <w:tcMar>
              <w:top w:w="75" w:type="dxa"/>
              <w:start w:w="95" w:type="dxa"/>
              <w:bottom w:w="75" w:type="dxa"/>
              <w:end w:w="95" w:type="dxa"/>
            </w:tcMar>
          </w:tcPr>
          <w:p>
            <w:r/>
            <w:r>
              <w:rPr>
                <w:rFonts w:ascii="Aptos" w:hAnsi="Aptos"/>
                <w:b w:val="0"/>
                <w:color w:val="17212B"/>
                <w:sz w:val="15"/>
              </w:rPr>
              <w:t>External dependency; prepare credentials, quota/failure handling, and a non-blocking rehearsal fallback.</w:t>
            </w:r>
          </w:p>
        </w:tc>
      </w:tr>
      <w:tr>
        <w:trPr>
          <w:cantSplit/>
        </w:trPr>
        <w:tc>
          <w:tcPr>
            <w:tcW w:type="dxa" w:w="2088"/>
            <w:shd w:fill="F3F5F7"/>
            <w:vAlign w:val="center"/>
            <w:tcMar>
              <w:top w:w="75" w:type="dxa"/>
              <w:start w:w="95" w:type="dxa"/>
              <w:bottom w:w="75" w:type="dxa"/>
              <w:end w:w="95" w:type="dxa"/>
            </w:tcMar>
          </w:tcPr>
          <w:p>
            <w:r/>
            <w:r>
              <w:rPr>
                <w:rFonts w:ascii="Aptos" w:hAnsi="Aptos"/>
                <w:b w:val="0"/>
                <w:color w:val="17212B"/>
                <w:sz w:val="15"/>
              </w:rPr>
              <w:t>React Native + Expo + TypeScript + Expo Router</w:t>
            </w:r>
          </w:p>
        </w:tc>
        <w:tc>
          <w:tcPr>
            <w:tcW w:type="dxa" w:w="3816"/>
            <w:shd w:fill="F3F5F7"/>
            <w:vAlign w:val="center"/>
            <w:tcMar>
              <w:top w:w="75" w:type="dxa"/>
              <w:start w:w="95" w:type="dxa"/>
              <w:bottom w:w="75" w:type="dxa"/>
              <w:end w:w="95" w:type="dxa"/>
            </w:tcMar>
          </w:tcPr>
          <w:p>
            <w:r/>
            <w:r>
              <w:rPr>
                <w:rFonts w:ascii="Aptos" w:hAnsi="Aptos"/>
                <w:b w:val="0"/>
                <w:color w:val="17212B"/>
                <w:sz w:val="15"/>
              </w:rPr>
              <w:t>Explorer authentication, Merchant Portal/application, Merchant Mode, discovery feed/search/profile.</w:t>
            </w:r>
          </w:p>
        </w:tc>
        <w:tc>
          <w:tcPr>
            <w:tcW w:type="dxa" w:w="4032"/>
            <w:shd w:fill="F3F5F7"/>
            <w:vAlign w:val="center"/>
            <w:tcMar>
              <w:top w:w="75" w:type="dxa"/>
              <w:start w:w="95" w:type="dxa"/>
              <w:bottom w:w="75" w:type="dxa"/>
              <w:end w:w="95" w:type="dxa"/>
            </w:tcMar>
          </w:tcPr>
          <w:p>
            <w:r/>
            <w:r>
              <w:rPr>
                <w:rFonts w:ascii="Aptos" w:hAnsi="Aptos"/>
                <w:b w:val="0"/>
                <w:color w:val="17212B"/>
                <w:sz w:val="15"/>
              </w:rPr>
              <w:t>Supports the Android mobile-first scope and route-group separation. Use a production-like device build for the demo.</w:t>
            </w:r>
          </w:p>
        </w:tc>
      </w:tr>
      <w:tr>
        <w:trPr>
          <w:cantSplit/>
        </w:trPr>
        <w:tc>
          <w:tcPr>
            <w:tcW w:type="dxa" w:w="2088"/>
            <w:shd w:fill="FFFFFF"/>
            <w:vAlign w:val="center"/>
            <w:tcMar>
              <w:top w:w="75" w:type="dxa"/>
              <w:start w:w="95" w:type="dxa"/>
              <w:bottom w:w="75" w:type="dxa"/>
              <w:end w:w="95" w:type="dxa"/>
            </w:tcMar>
          </w:tcPr>
          <w:p>
            <w:r/>
            <w:r>
              <w:rPr>
                <w:rFonts w:ascii="Aptos" w:hAnsi="Aptos"/>
                <w:b w:val="0"/>
                <w:color w:val="17212B"/>
                <w:sz w:val="15"/>
              </w:rPr>
              <w:t>React Query + Zustand</w:t>
            </w:r>
          </w:p>
        </w:tc>
        <w:tc>
          <w:tcPr>
            <w:tcW w:type="dxa" w:w="3816"/>
            <w:shd w:fill="FFFFFF"/>
            <w:vAlign w:val="center"/>
            <w:tcMar>
              <w:top w:w="75" w:type="dxa"/>
              <w:start w:w="95" w:type="dxa"/>
              <w:bottom w:w="75" w:type="dxa"/>
              <w:end w:w="95" w:type="dxa"/>
            </w:tcMar>
          </w:tcPr>
          <w:p>
            <w:r/>
            <w:r>
              <w:rPr>
                <w:rFonts w:ascii="Aptos" w:hAnsi="Aptos"/>
                <w:b w:val="0"/>
                <w:color w:val="17212B"/>
                <w:sz w:val="15"/>
              </w:rPr>
              <w:t>Server-state queries/mutations plus authenticated user and app-mode client state.</w:t>
            </w:r>
          </w:p>
        </w:tc>
        <w:tc>
          <w:tcPr>
            <w:tcW w:type="dxa" w:w="4032"/>
            <w:shd w:fill="FFFFFF"/>
            <w:vAlign w:val="center"/>
            <w:tcMar>
              <w:top w:w="75" w:type="dxa"/>
              <w:start w:w="95" w:type="dxa"/>
              <w:bottom w:w="75" w:type="dxa"/>
              <w:end w:w="95" w:type="dxa"/>
            </w:tcMar>
          </w:tcPr>
          <w:p>
            <w:r/>
            <w:r>
              <w:rPr>
                <w:rFonts w:ascii="Aptos" w:hAnsi="Aptos"/>
                <w:b w:val="0"/>
                <w:color w:val="17212B"/>
                <w:sz w:val="15"/>
              </w:rPr>
              <w:t>Keep server truth refreshable while maintaining session/mode across screens. Verify invalidation after approval/profile refresh.</w:t>
            </w:r>
          </w:p>
        </w:tc>
      </w:tr>
      <w:tr>
        <w:trPr>
          <w:cantSplit/>
        </w:trPr>
        <w:tc>
          <w:tcPr>
            <w:tcW w:type="dxa" w:w="2088"/>
            <w:shd w:fill="F3F5F7"/>
            <w:vAlign w:val="center"/>
            <w:tcMar>
              <w:top w:w="75" w:type="dxa"/>
              <w:start w:w="95" w:type="dxa"/>
              <w:bottom w:w="75" w:type="dxa"/>
              <w:end w:w="95" w:type="dxa"/>
            </w:tcMar>
          </w:tcPr>
          <w:p>
            <w:r/>
            <w:r>
              <w:rPr>
                <w:rFonts w:ascii="Aptos" w:hAnsi="Aptos"/>
                <w:b w:val="0"/>
                <w:color w:val="17212B"/>
                <w:sz w:val="15"/>
              </w:rPr>
              <w:t>SecureStore + AsyncStorage</w:t>
            </w:r>
          </w:p>
        </w:tc>
        <w:tc>
          <w:tcPr>
            <w:tcW w:type="dxa" w:w="3816"/>
            <w:shd w:fill="F3F5F7"/>
            <w:vAlign w:val="center"/>
            <w:tcMar>
              <w:top w:w="75" w:type="dxa"/>
              <w:start w:w="95" w:type="dxa"/>
              <w:bottom w:w="75" w:type="dxa"/>
              <w:end w:w="95" w:type="dxa"/>
            </w:tcMar>
          </w:tcPr>
          <w:p>
            <w:r/>
            <w:r>
              <w:rPr>
                <w:rFonts w:ascii="Aptos" w:hAnsi="Aptos"/>
                <w:b w:val="0"/>
                <w:color w:val="17212B"/>
                <w:sz w:val="15"/>
              </w:rPr>
              <w:t>Protected token storage and small local preferences/client state.</w:t>
            </w:r>
          </w:p>
        </w:tc>
        <w:tc>
          <w:tcPr>
            <w:tcW w:type="dxa" w:w="4032"/>
            <w:shd w:fill="F3F5F7"/>
            <w:vAlign w:val="center"/>
            <w:tcMar>
              <w:top w:w="75" w:type="dxa"/>
              <w:start w:w="95" w:type="dxa"/>
              <w:bottom w:w="75" w:type="dxa"/>
              <w:end w:w="95" w:type="dxa"/>
            </w:tcMar>
          </w:tcPr>
          <w:p>
            <w:r/>
            <w:r>
              <w:rPr>
                <w:rFonts w:ascii="Aptos" w:hAnsi="Aptos"/>
                <w:b w:val="0"/>
                <w:color w:val="17212B"/>
                <w:sz w:val="15"/>
              </w:rPr>
              <w:t>Confirm tokens are not stored in ordinary UI state and logout clears them.</w:t>
            </w:r>
          </w:p>
        </w:tc>
      </w:tr>
      <w:tr>
        <w:trPr>
          <w:cantSplit/>
        </w:trPr>
        <w:tc>
          <w:tcPr>
            <w:tcW w:type="dxa" w:w="2088"/>
            <w:shd w:fill="FFFFFF"/>
            <w:vAlign w:val="center"/>
            <w:tcMar>
              <w:top w:w="75" w:type="dxa"/>
              <w:start w:w="95" w:type="dxa"/>
              <w:bottom w:w="75" w:type="dxa"/>
              <w:end w:w="95" w:type="dxa"/>
            </w:tcMar>
          </w:tcPr>
          <w:p>
            <w:r/>
            <w:r>
              <w:rPr>
                <w:rFonts w:ascii="Aptos" w:hAnsi="Aptos"/>
                <w:b w:val="0"/>
                <w:color w:val="17212B"/>
                <w:sz w:val="15"/>
              </w:rPr>
              <w:t>NativeWind and existing SugboGo components</w:t>
            </w:r>
          </w:p>
        </w:tc>
        <w:tc>
          <w:tcPr>
            <w:tcW w:type="dxa" w:w="3816"/>
            <w:shd w:fill="FFFFFF"/>
            <w:vAlign w:val="center"/>
            <w:tcMar>
              <w:top w:w="75" w:type="dxa"/>
              <w:start w:w="95" w:type="dxa"/>
              <w:bottom w:w="75" w:type="dxa"/>
              <w:end w:w="95" w:type="dxa"/>
            </w:tcMar>
          </w:tcPr>
          <w:p>
            <w:r/>
            <w:r>
              <w:rPr>
                <w:rFonts w:ascii="Aptos" w:hAnsi="Aptos"/>
                <w:b w:val="0"/>
                <w:color w:val="17212B"/>
                <w:sz w:val="15"/>
              </w:rPr>
              <w:t>Consistent forms, status feedback, errors, loading and empty states.</w:t>
            </w:r>
          </w:p>
        </w:tc>
        <w:tc>
          <w:tcPr>
            <w:tcW w:type="dxa" w:w="4032"/>
            <w:shd w:fill="FFFFFF"/>
            <w:vAlign w:val="center"/>
            <w:tcMar>
              <w:top w:w="75" w:type="dxa"/>
              <w:start w:w="95" w:type="dxa"/>
              <w:bottom w:w="75" w:type="dxa"/>
              <w:end w:w="95" w:type="dxa"/>
            </w:tcMar>
          </w:tcPr>
          <w:p>
            <w:r/>
            <w:r>
              <w:rPr>
                <w:rFonts w:ascii="Aptos" w:hAnsi="Aptos"/>
                <w:b w:val="0"/>
                <w:color w:val="17212B"/>
                <w:sz w:val="15"/>
              </w:rPr>
              <w:t>Demo all material states, especially resume, under review, rejection feedback, approval, and API failure.</w:t>
            </w:r>
          </w:p>
        </w:tc>
      </w:tr>
      <w:tr>
        <w:trPr>
          <w:cantSplit/>
        </w:trPr>
        <w:tc>
          <w:tcPr>
            <w:tcW w:type="dxa" w:w="2088"/>
            <w:shd w:fill="F3F5F7"/>
            <w:vAlign w:val="center"/>
            <w:tcMar>
              <w:top w:w="75" w:type="dxa"/>
              <w:start w:w="95" w:type="dxa"/>
              <w:bottom w:w="75" w:type="dxa"/>
              <w:end w:w="95" w:type="dxa"/>
            </w:tcMar>
          </w:tcPr>
          <w:p>
            <w:r/>
            <w:r>
              <w:rPr>
                <w:rFonts w:ascii="Aptos" w:hAnsi="Aptos"/>
                <w:b w:val="0"/>
                <w:color w:val="17212B"/>
                <w:sz w:val="15"/>
              </w:rPr>
              <w:t>React 19 + Vite + React Query/Table + Tailwind + PDF.js</w:t>
            </w:r>
          </w:p>
        </w:tc>
        <w:tc>
          <w:tcPr>
            <w:tcW w:type="dxa" w:w="3816"/>
            <w:shd w:fill="F3F5F7"/>
            <w:vAlign w:val="center"/>
            <w:tcMar>
              <w:top w:w="75" w:type="dxa"/>
              <w:start w:w="95" w:type="dxa"/>
              <w:bottom w:w="75" w:type="dxa"/>
              <w:end w:w="95" w:type="dxa"/>
            </w:tcMar>
          </w:tcPr>
          <w:p>
            <w:r/>
            <w:r>
              <w:rPr>
                <w:rFonts w:ascii="Aptos" w:hAnsi="Aptos"/>
                <w:b w:val="0"/>
                <w:color w:val="17212B"/>
                <w:sz w:val="15"/>
              </w:rPr>
              <w:t>Admin application queue, filtering, review, metrics, document preview, approval/rejection.</w:t>
            </w:r>
          </w:p>
        </w:tc>
        <w:tc>
          <w:tcPr>
            <w:tcW w:type="dxa" w:w="4032"/>
            <w:shd w:fill="F3F5F7"/>
            <w:vAlign w:val="center"/>
            <w:tcMar>
              <w:top w:w="75" w:type="dxa"/>
              <w:start w:w="95" w:type="dxa"/>
              <w:bottom w:w="75" w:type="dxa"/>
              <w:end w:w="95" w:type="dxa"/>
            </w:tcMar>
          </w:tcPr>
          <w:p>
            <w:r/>
            <w:r>
              <w:rPr>
                <w:rFonts w:ascii="Aptos" w:hAnsi="Aptos"/>
                <w:b w:val="0"/>
                <w:color w:val="17212B"/>
                <w:sz w:val="15"/>
              </w:rPr>
              <w:t>Provides the required P1 review console. Test role guards, document preview, and stale-data refresh.</w:t>
            </w:r>
          </w:p>
        </w:tc>
      </w:tr>
    </w:tbl>
    <w:p>
      <w:pPr>
        <w:spacing w:after="0"/>
      </w:pPr>
    </w:p>
    <w:tbl>
      <w:tblPr>
        <w:tblW w:type="auto" w:w="0"/>
        <w:jc w:val="center"/>
        <w:tblLayout w:type="fixed"/>
        <w:tblLook w:firstColumn="1" w:firstRow="1" w:lastColumn="0" w:lastRow="0" w:noHBand="0" w:noVBand="1" w:val="04A0"/>
      </w:tblPr>
      <w:tblGrid>
        <w:gridCol w:w="4975"/>
        <w:gridCol w:w="4975"/>
      </w:tblGrid>
      <w:tr>
        <w:tc>
          <w:tcPr>
            <w:tcW w:type="dxa" w:w="144"/>
            <w:shd w:fill="17324D"/>
            <w:tcMar>
              <w:top w:w="0" w:type="dxa"/>
              <w:start w:w="0" w:type="dxa"/>
              <w:bottom w:w="0" w:type="dxa"/>
              <w:end w:w="0" w:type="dxa"/>
            </w:tcMar>
          </w:tcPr>
          <w:p/>
        </w:tc>
        <w:tc>
          <w:tcPr>
            <w:tcW w:type="dxa" w:w="9864"/>
            <w:shd w:fill="EDF3F8"/>
            <w:tcMar>
              <w:top w:w="120" w:type="dxa"/>
              <w:start w:w="150" w:type="dxa"/>
              <w:bottom w:w="120" w:type="dxa"/>
              <w:end w:w="150" w:type="dxa"/>
            </w:tcMar>
          </w:tcPr>
          <w:p>
            <w:r/>
            <w:r>
              <w:rPr>
                <w:rFonts w:ascii="Aptos Display" w:hAnsi="Aptos Display"/>
                <w:b/>
                <w:color w:val="17324D"/>
                <w:sz w:val="21"/>
              </w:rPr>
              <w:t>Technology boundary</w:t>
            </w:r>
          </w:p>
          <w:p>
            <w:pPr>
              <w:pStyle w:val="BodyText"/>
              <w:spacing w:after="0"/>
            </w:pPr>
            <w:r>
              <w:t>P1 depends on PostgreSQL/PostGIS for authoritative state, MongoDB for visibility events, Redis/Celery for score refresh, and Cloudinary/Google integrations for selected media and identity/location workflows. The demo plan needs a failure assumption for every external service.</w:t>
            </w:r>
          </w:p>
        </w:tc>
      </w:tr>
    </w:tbl>
    <w:p>
      <w:pPr>
        <w:spacing w:after="0"/>
      </w:pPr>
    </w:p>
    <w:p>
      <w:r>
        <w:br w:type="page"/>
      </w:r>
    </w:p>
    <w:p>
      <w:pPr>
        <w:pStyle w:val="Heading1"/>
      </w:pPr>
      <w:r>
        <w:t>6. Changes from the manuscript to the repository</w:t>
      </w:r>
    </w:p>
    <w:tbl>
      <w:tblPr>
        <w:tblStyle w:val="TableGrid"/>
        <w:tblW w:type="auto" w:w="0"/>
        <w:jc w:val="center"/>
        <w:tblLook w:firstColumn="1" w:firstRow="1" w:lastColumn="0" w:lastRow="0" w:noHBand="0" w:noVBand="1" w:val="04A0"/>
      </w:tblPr>
      <w:tblGrid>
        <w:gridCol w:w="2488"/>
        <w:gridCol w:w="2488"/>
        <w:gridCol w:w="2488"/>
        <w:gridCol w:w="2488"/>
      </w:tblGrid>
      <w:tr>
        <w:trPr>
          <w:tblHeader w:val="true"/>
        </w:trPr>
        <w:tc>
          <w:tcPr>
            <w:tcW w:type="dxa" w:w="1656"/>
            <w:shd w:fill="17324D"/>
            <w:vAlign w:val="center"/>
            <w:tcMar>
              <w:top w:w="75" w:type="dxa"/>
              <w:start w:w="95" w:type="dxa"/>
              <w:bottom w:w="75" w:type="dxa"/>
              <w:end w:w="95" w:type="dxa"/>
            </w:tcMar>
          </w:tcPr>
          <w:p>
            <w:r/>
            <w:r>
              <w:rPr>
                <w:rFonts w:ascii="Aptos" w:hAnsi="Aptos"/>
                <w:b/>
                <w:color w:val="FFFFFF"/>
                <w:sz w:val="16"/>
              </w:rPr>
              <w:t>Area</w:t>
            </w:r>
          </w:p>
        </w:tc>
        <w:tc>
          <w:tcPr>
            <w:tcW w:type="dxa" w:w="2448"/>
            <w:shd w:fill="17324D"/>
            <w:vAlign w:val="center"/>
            <w:tcMar>
              <w:top w:w="75" w:type="dxa"/>
              <w:start w:w="95" w:type="dxa"/>
              <w:bottom w:w="75" w:type="dxa"/>
              <w:end w:w="95" w:type="dxa"/>
            </w:tcMar>
          </w:tcPr>
          <w:p>
            <w:r/>
            <w:r>
              <w:rPr>
                <w:rFonts w:ascii="Aptos" w:hAnsi="Aptos"/>
                <w:b/>
                <w:color w:val="FFFFFF"/>
                <w:sz w:val="16"/>
              </w:rPr>
              <w:t>Manuscript baseline</w:t>
            </w:r>
          </w:p>
        </w:tc>
        <w:tc>
          <w:tcPr>
            <w:tcW w:type="dxa" w:w="3816"/>
            <w:shd w:fill="17324D"/>
            <w:vAlign w:val="center"/>
            <w:tcMar>
              <w:top w:w="75" w:type="dxa"/>
              <w:start w:w="95" w:type="dxa"/>
              <w:bottom w:w="75" w:type="dxa"/>
              <w:end w:w="95" w:type="dxa"/>
            </w:tcMar>
          </w:tcPr>
          <w:p>
            <w:r/>
            <w:r>
              <w:rPr>
                <w:rFonts w:ascii="Aptos" w:hAnsi="Aptos"/>
                <w:b/>
                <w:color w:val="FFFFFF"/>
                <w:sz w:val="16"/>
              </w:rPr>
              <w:t>Current repository behavior</w:t>
            </w:r>
          </w:p>
        </w:tc>
        <w:tc>
          <w:tcPr>
            <w:tcW w:type="dxa" w:w="2088"/>
            <w:shd w:fill="17324D"/>
            <w:vAlign w:val="center"/>
            <w:tcMar>
              <w:top w:w="75" w:type="dxa"/>
              <w:start w:w="95" w:type="dxa"/>
              <w:bottom w:w="75" w:type="dxa"/>
              <w:end w:w="95" w:type="dxa"/>
            </w:tcMar>
          </w:tcPr>
          <w:p>
            <w:r/>
            <w:r>
              <w:rPr>
                <w:rFonts w:ascii="Aptos" w:hAnsi="Aptos"/>
                <w:b/>
                <w:color w:val="FFFFFF"/>
                <w:sz w:val="16"/>
              </w:rPr>
              <w:t>Required action</w:t>
            </w:r>
          </w:p>
        </w:tc>
      </w:tr>
      <w:tr>
        <w:trPr>
          <w:cantSplit/>
        </w:trPr>
        <w:tc>
          <w:tcPr>
            <w:tcW w:type="dxa" w:w="1656"/>
            <w:shd w:fill="FFFFFF"/>
            <w:vAlign w:val="center"/>
            <w:tcMar>
              <w:top w:w="75" w:type="dxa"/>
              <w:start w:w="95" w:type="dxa"/>
              <w:bottom w:w="75" w:type="dxa"/>
              <w:end w:w="95" w:type="dxa"/>
            </w:tcMar>
          </w:tcPr>
          <w:p>
            <w:r/>
            <w:r>
              <w:rPr>
                <w:rFonts w:ascii="Aptos" w:hAnsi="Aptos"/>
                <w:b w:val="0"/>
                <w:color w:val="17212B"/>
                <w:sz w:val="14"/>
              </w:rPr>
              <w:t>IAM roles</w:t>
            </w:r>
          </w:p>
        </w:tc>
        <w:tc>
          <w:tcPr>
            <w:tcW w:type="dxa" w:w="2448"/>
            <w:shd w:fill="FFFFFF"/>
            <w:vAlign w:val="center"/>
            <w:tcMar>
              <w:top w:w="75" w:type="dxa"/>
              <w:start w:w="95" w:type="dxa"/>
              <w:bottom w:w="75" w:type="dxa"/>
              <w:end w:w="95" w:type="dxa"/>
            </w:tcMar>
          </w:tcPr>
          <w:p>
            <w:r/>
            <w:r>
              <w:rPr>
                <w:rFonts w:ascii="Aptos" w:hAnsi="Aptos"/>
                <w:b w:val="0"/>
                <w:color w:val="17212B"/>
                <w:sz w:val="14"/>
              </w:rPr>
              <w:t>Explorer, Merchant, and Admin; role switching and session/security handling.</w:t>
            </w:r>
          </w:p>
        </w:tc>
        <w:tc>
          <w:tcPr>
            <w:tcW w:type="dxa" w:w="3816"/>
            <w:shd w:fill="FFFFFF"/>
            <w:vAlign w:val="center"/>
            <w:tcMar>
              <w:top w:w="75" w:type="dxa"/>
              <w:start w:w="95" w:type="dxa"/>
              <w:bottom w:w="75" w:type="dxa"/>
              <w:end w:w="95" w:type="dxa"/>
            </w:tcMar>
          </w:tcPr>
          <w:p>
            <w:r/>
            <w:r>
              <w:rPr>
                <w:rFonts w:ascii="Aptos" w:hAnsi="Aptos"/>
                <w:b w:val="0"/>
                <w:color w:val="17212B"/>
                <w:sz w:val="14"/>
              </w:rPr>
              <w:t>Adds Super Admin inheritance, account statuses, email verification/reset, Google/Facebook login, rotating/blacklisted JWT sessions, secure mobile restoration, and separate Explorer/Merchant app mode.</w:t>
            </w:r>
          </w:p>
        </w:tc>
        <w:tc>
          <w:tcPr>
            <w:tcW w:type="dxa" w:w="2088"/>
            <w:shd w:fill="FFFFFF"/>
            <w:vAlign w:val="center"/>
            <w:tcMar>
              <w:top w:w="75" w:type="dxa"/>
              <w:start w:w="95" w:type="dxa"/>
              <w:bottom w:w="75" w:type="dxa"/>
              <w:end w:w="95" w:type="dxa"/>
            </w:tcMar>
          </w:tcPr>
          <w:p>
            <w:r/>
            <w:r>
              <w:rPr>
                <w:rFonts w:ascii="Aptos" w:hAnsi="Aptos"/>
                <w:b w:val="0"/>
                <w:color w:val="17212B"/>
                <w:sz w:val="14"/>
              </w:rPr>
              <w:t>Update the manuscript architecture and define exactly what “role switching” means.</w:t>
            </w:r>
          </w:p>
        </w:tc>
      </w:tr>
      <w:tr>
        <w:trPr>
          <w:cantSplit/>
        </w:trPr>
        <w:tc>
          <w:tcPr>
            <w:tcW w:type="dxa" w:w="1656"/>
            <w:shd w:fill="F3F5F7"/>
            <w:vAlign w:val="center"/>
            <w:tcMar>
              <w:top w:w="75" w:type="dxa"/>
              <w:start w:w="95" w:type="dxa"/>
              <w:bottom w:w="75" w:type="dxa"/>
              <w:end w:w="95" w:type="dxa"/>
            </w:tcMar>
          </w:tcPr>
          <w:p>
            <w:r/>
            <w:r>
              <w:rPr>
                <w:rFonts w:ascii="Aptos" w:hAnsi="Aptos"/>
                <w:b w:val="0"/>
                <w:color w:val="17212B"/>
                <w:sz w:val="14"/>
              </w:rPr>
              <w:t>Merchant transition</w:t>
            </w:r>
          </w:p>
        </w:tc>
        <w:tc>
          <w:tcPr>
            <w:tcW w:type="dxa" w:w="2448"/>
            <w:shd w:fill="F3F5F7"/>
            <w:vAlign w:val="center"/>
            <w:tcMar>
              <w:top w:w="75" w:type="dxa"/>
              <w:start w:w="95" w:type="dxa"/>
              <w:bottom w:w="75" w:type="dxa"/>
              <w:end w:w="95" w:type="dxa"/>
            </w:tcMar>
          </w:tcPr>
          <w:p>
            <w:r/>
            <w:r>
              <w:rPr>
                <w:rFonts w:ascii="Aptos" w:hAnsi="Aptos"/>
                <w:b w:val="0"/>
                <w:color w:val="17212B"/>
                <w:sz w:val="14"/>
              </w:rPr>
              <w:t>Merchant interface is listed but the transition is not detailed.</w:t>
            </w:r>
          </w:p>
        </w:tc>
        <w:tc>
          <w:tcPr>
            <w:tcW w:type="dxa" w:w="3816"/>
            <w:shd w:fill="F3F5F7"/>
            <w:vAlign w:val="center"/>
            <w:tcMar>
              <w:top w:w="75" w:type="dxa"/>
              <w:start w:w="95" w:type="dxa"/>
              <w:bottom w:w="75" w:type="dxa"/>
              <w:end w:w="95" w:type="dxa"/>
            </w:tcMar>
          </w:tcPr>
          <w:p>
            <w:r/>
            <w:r>
              <w:rPr>
                <w:rFonts w:ascii="Aptos" w:hAnsi="Aptos"/>
                <w:b w:val="0"/>
                <w:color w:val="17212B"/>
                <w:sz w:val="14"/>
              </w:rPr>
              <w:t>Approval creates the permanent active Business, promotes the applicant from Explorer to Merchant, and requires one Merchant Mode acknowledgement before the mobile transition is finalized.</w:t>
            </w:r>
          </w:p>
        </w:tc>
        <w:tc>
          <w:tcPr>
            <w:tcW w:type="dxa" w:w="2088"/>
            <w:shd w:fill="F3F5F7"/>
            <w:vAlign w:val="center"/>
            <w:tcMar>
              <w:top w:w="75" w:type="dxa"/>
              <w:start w:w="95" w:type="dxa"/>
              <w:bottom w:w="75" w:type="dxa"/>
              <w:end w:w="95" w:type="dxa"/>
            </w:tcMar>
          </w:tcPr>
          <w:p>
            <w:r/>
            <w:r>
              <w:rPr>
                <w:rFonts w:ascii="Aptos" w:hAnsi="Aptos"/>
                <w:b w:val="0"/>
                <w:color w:val="17212B"/>
                <w:sz w:val="14"/>
              </w:rPr>
              <w:t>Add the lifecycle/state-transition description and expected evidence.</w:t>
            </w:r>
          </w:p>
        </w:tc>
      </w:tr>
      <w:tr>
        <w:trPr>
          <w:cantSplit/>
        </w:trPr>
        <w:tc>
          <w:tcPr>
            <w:tcW w:type="dxa" w:w="1656"/>
            <w:shd w:fill="FFFFFF"/>
            <w:vAlign w:val="center"/>
            <w:tcMar>
              <w:top w:w="75" w:type="dxa"/>
              <w:start w:w="95" w:type="dxa"/>
              <w:bottom w:w="75" w:type="dxa"/>
              <w:end w:w="95" w:type="dxa"/>
            </w:tcMar>
          </w:tcPr>
          <w:p>
            <w:r/>
            <w:r>
              <w:rPr>
                <w:rFonts w:ascii="Aptos" w:hAnsi="Aptos"/>
                <w:b w:val="0"/>
                <w:color w:val="17212B"/>
                <w:sz w:val="14"/>
              </w:rPr>
              <w:t>SAG criteria</w:t>
            </w:r>
          </w:p>
        </w:tc>
        <w:tc>
          <w:tcPr>
            <w:tcW w:type="dxa" w:w="2448"/>
            <w:shd w:fill="FFFFFF"/>
            <w:vAlign w:val="center"/>
            <w:tcMar>
              <w:top w:w="75" w:type="dxa"/>
              <w:start w:w="95" w:type="dxa"/>
              <w:bottom w:w="75" w:type="dxa"/>
              <w:end w:w="95" w:type="dxa"/>
            </w:tcMar>
          </w:tcPr>
          <w:p>
            <w:r/>
            <w:r>
              <w:rPr>
                <w:rFonts w:ascii="Aptos" w:hAnsi="Aptos"/>
                <w:b w:val="0"/>
                <w:color w:val="17212B"/>
                <w:sz w:val="14"/>
              </w:rPr>
              <w:t>Multi-criteria onboarding, eligibility audit, approval/rejection, initial visibility weights, and hidden-gem identification.</w:t>
            </w:r>
          </w:p>
        </w:tc>
        <w:tc>
          <w:tcPr>
            <w:tcW w:type="dxa" w:w="3816"/>
            <w:shd w:fill="FFFFFF"/>
            <w:vAlign w:val="center"/>
            <w:tcMar>
              <w:top w:w="75" w:type="dxa"/>
              <w:start w:w="95" w:type="dxa"/>
              <w:bottom w:w="75" w:type="dxa"/>
              <w:end w:w="95" w:type="dxa"/>
            </w:tcMar>
          </w:tcPr>
          <w:p>
            <w:r/>
            <w:r>
              <w:rPr>
                <w:rFonts w:ascii="Aptos" w:hAnsi="Aptos"/>
                <w:b w:val="0"/>
                <w:color w:val="17212B"/>
                <w:sz w:val="14"/>
              </w:rPr>
              <w:t>Implements five persisted application sections, exact three specialties, category/cluster alignment, geospatial location/landmarks, seven-day hours, media/documents, resumable progress, submission history, section feedback, review SLA, correction/resubmission, and transactional publication.</w:t>
            </w:r>
          </w:p>
        </w:tc>
        <w:tc>
          <w:tcPr>
            <w:tcW w:type="dxa" w:w="2088"/>
            <w:shd w:fill="FFFFFF"/>
            <w:vAlign w:val="center"/>
            <w:tcMar>
              <w:top w:w="75" w:type="dxa"/>
              <w:start w:w="95" w:type="dxa"/>
              <w:bottom w:w="75" w:type="dxa"/>
              <w:end w:w="95" w:type="dxa"/>
            </w:tcMar>
          </w:tcPr>
          <w:p>
            <w:r/>
            <w:r>
              <w:rPr>
                <w:rFonts w:ascii="Aptos" w:hAnsi="Aptos"/>
                <w:b w:val="0"/>
                <w:color w:val="17212B"/>
                <w:sz w:val="14"/>
              </w:rPr>
              <w:t>Replace the broad description with the actual admission contract.</w:t>
            </w:r>
          </w:p>
        </w:tc>
      </w:tr>
      <w:tr>
        <w:trPr>
          <w:cantSplit/>
        </w:trPr>
        <w:tc>
          <w:tcPr>
            <w:tcW w:type="dxa" w:w="1656"/>
            <w:shd w:fill="F3F5F7"/>
            <w:vAlign w:val="center"/>
            <w:tcMar>
              <w:top w:w="75" w:type="dxa"/>
              <w:start w:w="95" w:type="dxa"/>
              <w:bottom w:w="75" w:type="dxa"/>
              <w:end w:w="95" w:type="dxa"/>
            </w:tcMar>
          </w:tcPr>
          <w:p>
            <w:r/>
            <w:r>
              <w:rPr>
                <w:rFonts w:ascii="Aptos" w:hAnsi="Aptos"/>
                <w:b w:val="0"/>
                <w:color w:val="17212B"/>
                <w:sz w:val="14"/>
              </w:rPr>
              <w:t>SAG vs Discovery responsibility</w:t>
            </w:r>
          </w:p>
        </w:tc>
        <w:tc>
          <w:tcPr>
            <w:tcW w:type="dxa" w:w="2448"/>
            <w:shd w:fill="F3F5F7"/>
            <w:vAlign w:val="center"/>
            <w:tcMar>
              <w:top w:w="75" w:type="dxa"/>
              <w:start w:w="95" w:type="dxa"/>
              <w:bottom w:w="75" w:type="dxa"/>
              <w:end w:w="95" w:type="dxa"/>
            </w:tcMar>
          </w:tcPr>
          <w:p>
            <w:r/>
            <w:r>
              <w:rPr>
                <w:rFonts w:ascii="Aptos" w:hAnsi="Aptos"/>
                <w:b w:val="0"/>
                <w:color w:val="17212B"/>
                <w:sz w:val="14"/>
              </w:rPr>
              <w:t>Hidden-gem identification appears under SAG.</w:t>
            </w:r>
          </w:p>
        </w:tc>
        <w:tc>
          <w:tcPr>
            <w:tcW w:type="dxa" w:w="3816"/>
            <w:shd w:fill="F3F5F7"/>
            <w:vAlign w:val="center"/>
            <w:tcMar>
              <w:top w:w="75" w:type="dxa"/>
              <w:start w:w="95" w:type="dxa"/>
              <w:bottom w:w="75" w:type="dxa"/>
              <w:end w:w="95" w:type="dxa"/>
            </w:tcMar>
          </w:tcPr>
          <w:p>
            <w:r/>
            <w:r>
              <w:rPr>
                <w:rFonts w:ascii="Aptos" w:hAnsi="Aptos"/>
                <w:b w:val="0"/>
                <w:color w:val="17212B"/>
                <w:sz w:val="14"/>
              </w:rPr>
              <w:t>SAG decides publication eligibility; Discovery Score and Hidden Gems ordering live in the business/discovery services. Approval does not compute a score synchronously.</w:t>
            </w:r>
          </w:p>
        </w:tc>
        <w:tc>
          <w:tcPr>
            <w:tcW w:type="dxa" w:w="2088"/>
            <w:shd w:fill="F3F5F7"/>
            <w:vAlign w:val="center"/>
            <w:tcMar>
              <w:top w:w="75" w:type="dxa"/>
              <w:start w:w="95" w:type="dxa"/>
              <w:bottom w:w="75" w:type="dxa"/>
              <w:end w:w="95" w:type="dxa"/>
            </w:tcMar>
          </w:tcPr>
          <w:p>
            <w:r/>
            <w:r>
              <w:rPr>
                <w:rFonts w:ascii="Aptos" w:hAnsi="Aptos"/>
                <w:b w:val="0"/>
                <w:color w:val="17212B"/>
                <w:sz w:val="14"/>
              </w:rPr>
              <w:t>Move score/ranking responsibility to Dynamic Discovery in the manuscript/module map.</w:t>
            </w:r>
          </w:p>
        </w:tc>
      </w:tr>
      <w:tr>
        <w:trPr>
          <w:cantSplit/>
        </w:trPr>
        <w:tc>
          <w:tcPr>
            <w:tcW w:type="dxa" w:w="1656"/>
            <w:shd w:fill="FFFFFF"/>
            <w:vAlign w:val="center"/>
            <w:tcMar>
              <w:top w:w="75" w:type="dxa"/>
              <w:start w:w="95" w:type="dxa"/>
              <w:bottom w:w="75" w:type="dxa"/>
              <w:end w:w="95" w:type="dxa"/>
            </w:tcMar>
          </w:tcPr>
          <w:p>
            <w:r/>
            <w:r>
              <w:rPr>
                <w:rFonts w:ascii="Aptos" w:hAnsi="Aptos"/>
                <w:b w:val="0"/>
                <w:color w:val="17212B"/>
                <w:sz w:val="14"/>
              </w:rPr>
              <w:t>Initial public visibility</w:t>
            </w:r>
          </w:p>
        </w:tc>
        <w:tc>
          <w:tcPr>
            <w:tcW w:type="dxa" w:w="2448"/>
            <w:shd w:fill="FFFFFF"/>
            <w:vAlign w:val="center"/>
            <w:tcMar>
              <w:top w:w="75" w:type="dxa"/>
              <w:start w:w="95" w:type="dxa"/>
              <w:bottom w:w="75" w:type="dxa"/>
              <w:end w:w="95" w:type="dxa"/>
            </w:tcMar>
          </w:tcPr>
          <w:p>
            <w:r/>
            <w:r>
              <w:rPr>
                <w:rFonts w:ascii="Aptos" w:hAnsi="Aptos"/>
                <w:b w:val="0"/>
                <w:color w:val="17212B"/>
                <w:sz w:val="14"/>
              </w:rPr>
              <w:t>Initial visibility weights are implied during admission.</w:t>
            </w:r>
          </w:p>
        </w:tc>
        <w:tc>
          <w:tcPr>
            <w:tcW w:type="dxa" w:w="3816"/>
            <w:shd w:fill="FFFFFF"/>
            <w:vAlign w:val="center"/>
            <w:tcMar>
              <w:top w:w="75" w:type="dxa"/>
              <w:start w:w="95" w:type="dxa"/>
              <w:bottom w:w="75" w:type="dxa"/>
              <w:end w:w="95" w:type="dxa"/>
            </w:tcMar>
          </w:tcPr>
          <w:p>
            <w:r/>
            <w:r>
              <w:rPr>
                <w:rFonts w:ascii="Aptos" w:hAnsi="Aptos"/>
                <w:b w:val="0"/>
                <w:color w:val="17212B"/>
                <w:sz w:val="14"/>
              </w:rPr>
              <w:t>An approved active business is immediately visible with an effective score of zero until scheduled recomputation; no initial special weight is assigned during approval.</w:t>
            </w:r>
          </w:p>
        </w:tc>
        <w:tc>
          <w:tcPr>
            <w:tcW w:type="dxa" w:w="2088"/>
            <w:shd w:fill="FFFFFF"/>
            <w:vAlign w:val="center"/>
            <w:tcMar>
              <w:top w:w="75" w:type="dxa"/>
              <w:start w:w="95" w:type="dxa"/>
              <w:bottom w:w="75" w:type="dxa"/>
              <w:end w:w="95" w:type="dxa"/>
            </w:tcMar>
          </w:tcPr>
          <w:p>
            <w:r/>
            <w:r>
              <w:rPr>
                <w:rFonts w:ascii="Aptos" w:hAnsi="Aptos"/>
                <w:b w:val="0"/>
                <w:color w:val="17212B"/>
                <w:sz w:val="14"/>
              </w:rPr>
              <w:t>Ask whether immediate zero-score publication is acceptable or an initial-score policy is required.</w:t>
            </w:r>
          </w:p>
        </w:tc>
      </w:tr>
      <w:tr>
        <w:trPr>
          <w:cantSplit/>
        </w:trPr>
        <w:tc>
          <w:tcPr>
            <w:tcW w:type="dxa" w:w="1656"/>
            <w:shd w:fill="F3F5F7"/>
            <w:vAlign w:val="center"/>
            <w:tcMar>
              <w:top w:w="75" w:type="dxa"/>
              <w:start w:w="95" w:type="dxa"/>
              <w:bottom w:w="75" w:type="dxa"/>
              <w:end w:w="95" w:type="dxa"/>
            </w:tcMar>
          </w:tcPr>
          <w:p>
            <w:r/>
            <w:r>
              <w:rPr>
                <w:rFonts w:ascii="Aptos" w:hAnsi="Aptos"/>
                <w:b w:val="0"/>
                <w:color w:val="17212B"/>
                <w:sz w:val="14"/>
              </w:rPr>
              <w:t>Discovery formula</w:t>
            </w:r>
          </w:p>
        </w:tc>
        <w:tc>
          <w:tcPr>
            <w:tcW w:type="dxa" w:w="2448"/>
            <w:shd w:fill="F3F5F7"/>
            <w:vAlign w:val="center"/>
            <w:tcMar>
              <w:top w:w="75" w:type="dxa"/>
              <w:start w:w="95" w:type="dxa"/>
              <w:bottom w:w="75" w:type="dxa"/>
              <w:end w:w="95" w:type="dxa"/>
            </w:tcMar>
          </w:tcPr>
          <w:p>
            <w:r/>
            <w:r>
              <w:rPr>
                <w:rFonts w:ascii="Aptos" w:hAnsi="Aptos"/>
                <w:b w:val="0"/>
                <w:color w:val="17212B"/>
                <w:sz w:val="14"/>
              </w:rPr>
              <w:t>Earlier manuscript material describes 60% Specialty / 40% Visibility.</w:t>
            </w:r>
          </w:p>
        </w:tc>
        <w:tc>
          <w:tcPr>
            <w:tcW w:type="dxa" w:w="3816"/>
            <w:shd w:fill="F3F5F7"/>
            <w:vAlign w:val="center"/>
            <w:tcMar>
              <w:top w:w="75" w:type="dxa"/>
              <w:start w:w="95" w:type="dxa"/>
              <w:bottom w:w="75" w:type="dxa"/>
              <w:end w:w="95" w:type="dxa"/>
            </w:tcMar>
          </w:tcPr>
          <w:p>
            <w:r/>
            <w:r>
              <w:rPr>
                <w:rFonts w:ascii="Aptos" w:hAnsi="Aptos"/>
                <w:b w:val="0"/>
                <w:color w:val="17212B"/>
                <w:sz w:val="14"/>
              </w:rPr>
              <w:t>Current documented default is 80% Specialty / 20% Visibility Gap, configurable and bounded to 0–1.</w:t>
            </w:r>
          </w:p>
        </w:tc>
        <w:tc>
          <w:tcPr>
            <w:tcW w:type="dxa" w:w="2088"/>
            <w:shd w:fill="F3F5F7"/>
            <w:vAlign w:val="center"/>
            <w:tcMar>
              <w:top w:w="75" w:type="dxa"/>
              <w:start w:w="95" w:type="dxa"/>
              <w:bottom w:w="75" w:type="dxa"/>
              <w:end w:w="95" w:type="dxa"/>
            </w:tcMar>
          </w:tcPr>
          <w:p>
            <w:r/>
            <w:r>
              <w:rPr>
                <w:rFonts w:ascii="Aptos" w:hAnsi="Aptos"/>
                <w:b w:val="0"/>
                <w:color w:val="17212B"/>
                <w:sz w:val="14"/>
              </w:rPr>
              <w:t>Approve one versioned formula and update manuscript examples.</w:t>
            </w:r>
          </w:p>
        </w:tc>
      </w:tr>
      <w:tr>
        <w:trPr>
          <w:cantSplit/>
        </w:trPr>
        <w:tc>
          <w:tcPr>
            <w:tcW w:type="dxa" w:w="1656"/>
            <w:shd w:fill="FFFFFF"/>
            <w:vAlign w:val="center"/>
            <w:tcMar>
              <w:top w:w="75" w:type="dxa"/>
              <w:start w:w="95" w:type="dxa"/>
              <w:bottom w:w="75" w:type="dxa"/>
              <w:end w:w="95" w:type="dxa"/>
            </w:tcMar>
          </w:tcPr>
          <w:p>
            <w:r/>
            <w:r>
              <w:rPr>
                <w:rFonts w:ascii="Aptos" w:hAnsi="Aptos"/>
                <w:b w:val="0"/>
                <w:color w:val="17212B"/>
                <w:sz w:val="14"/>
              </w:rPr>
              <w:t>Discovery exposure</w:t>
            </w:r>
          </w:p>
        </w:tc>
        <w:tc>
          <w:tcPr>
            <w:tcW w:type="dxa" w:w="2448"/>
            <w:shd w:fill="FFFFFF"/>
            <w:vAlign w:val="center"/>
            <w:tcMar>
              <w:top w:w="75" w:type="dxa"/>
              <w:start w:w="95" w:type="dxa"/>
              <w:bottom w:w="75" w:type="dxa"/>
              <w:end w:w="95" w:type="dxa"/>
            </w:tcMar>
          </w:tcPr>
          <w:p>
            <w:r/>
            <w:r>
              <w:rPr>
                <w:rFonts w:ascii="Aptos" w:hAnsi="Aptos"/>
                <w:b w:val="0"/>
                <w:color w:val="17212B"/>
                <w:sz w:val="14"/>
              </w:rPr>
              <w:t>Randomized MSME exposure and real-time rotation/resurfacing are listed.</w:t>
            </w:r>
          </w:p>
        </w:tc>
        <w:tc>
          <w:tcPr>
            <w:tcW w:type="dxa" w:w="3816"/>
            <w:shd w:fill="FFFFFF"/>
            <w:vAlign w:val="center"/>
            <w:tcMar>
              <w:top w:w="75" w:type="dxa"/>
              <w:start w:w="95" w:type="dxa"/>
              <w:bottom w:w="75" w:type="dxa"/>
              <w:end w:w="95" w:type="dxa"/>
            </w:tcMar>
          </w:tcPr>
          <w:p>
            <w:r/>
            <w:r>
              <w:rPr>
                <w:rFonts w:ascii="Aptos" w:hAnsi="Aptos"/>
                <w:b w:val="0"/>
                <w:color w:val="17212B"/>
                <w:sz w:val="14"/>
              </w:rPr>
              <w:t>Hidden Gems ordering is deterministic. No randomization is used in the current ranking path.</w:t>
            </w:r>
          </w:p>
        </w:tc>
        <w:tc>
          <w:tcPr>
            <w:tcW w:type="dxa" w:w="2088"/>
            <w:shd w:fill="FFFFFF"/>
            <w:vAlign w:val="center"/>
            <w:tcMar>
              <w:top w:w="75" w:type="dxa"/>
              <w:start w:w="95" w:type="dxa"/>
              <w:bottom w:w="75" w:type="dxa"/>
              <w:end w:w="95" w:type="dxa"/>
            </w:tcMar>
          </w:tcPr>
          <w:p>
            <w:r/>
            <w:r>
              <w:rPr>
                <w:rFonts w:ascii="Aptos" w:hAnsi="Aptos"/>
                <w:b w:val="0"/>
                <w:color w:val="17212B"/>
                <w:sz w:val="14"/>
              </w:rPr>
              <w:t>Revise the claim or define a controlled rotation feature and fairness test for P2.</w:t>
            </w:r>
          </w:p>
        </w:tc>
      </w:tr>
      <w:tr>
        <w:trPr>
          <w:cantSplit/>
        </w:trPr>
        <w:tc>
          <w:tcPr>
            <w:tcW w:type="dxa" w:w="1656"/>
            <w:shd w:fill="F3F5F7"/>
            <w:vAlign w:val="center"/>
            <w:tcMar>
              <w:top w:w="75" w:type="dxa"/>
              <w:start w:w="95" w:type="dxa"/>
              <w:bottom w:w="75" w:type="dxa"/>
              <w:end w:w="95" w:type="dxa"/>
            </w:tcMar>
          </w:tcPr>
          <w:p>
            <w:r/>
            <w:r>
              <w:rPr>
                <w:rFonts w:ascii="Aptos" w:hAnsi="Aptos"/>
                <w:b w:val="0"/>
                <w:color w:val="17212B"/>
                <w:sz w:val="14"/>
              </w:rPr>
              <w:t>Trend integration</w:t>
            </w:r>
          </w:p>
        </w:tc>
        <w:tc>
          <w:tcPr>
            <w:tcW w:type="dxa" w:w="2448"/>
            <w:shd w:fill="F3F5F7"/>
            <w:vAlign w:val="center"/>
            <w:tcMar>
              <w:top w:w="75" w:type="dxa"/>
              <w:start w:w="95" w:type="dxa"/>
              <w:bottom w:w="75" w:type="dxa"/>
              <w:end w:w="95" w:type="dxa"/>
            </w:tcMar>
          </w:tcPr>
          <w:p>
            <w:r/>
            <w:r>
              <w:rPr>
                <w:rFonts w:ascii="Aptos" w:hAnsi="Aptos"/>
                <w:b w:val="0"/>
                <w:color w:val="17212B"/>
                <w:sz w:val="14"/>
              </w:rPr>
              <w:t>Real-time trend integration is listed.</w:t>
            </w:r>
          </w:p>
        </w:tc>
        <w:tc>
          <w:tcPr>
            <w:tcW w:type="dxa" w:w="3816"/>
            <w:shd w:fill="F3F5F7"/>
            <w:vAlign w:val="center"/>
            <w:tcMar>
              <w:top w:w="75" w:type="dxa"/>
              <w:start w:w="95" w:type="dxa"/>
              <w:bottom w:w="75" w:type="dxa"/>
              <w:end w:w="95" w:type="dxa"/>
            </w:tcMar>
          </w:tcPr>
          <w:p>
            <w:r/>
            <w:r>
              <w:rPr>
                <w:rFonts w:ascii="Aptos" w:hAnsi="Aptos"/>
                <w:b w:val="0"/>
                <w:color w:val="17212B"/>
                <w:sz w:val="14"/>
              </w:rPr>
              <w:t>The mobile Trending section still uses mock Hidden Gems data; it is not suitable as live P1 evidence.</w:t>
            </w:r>
          </w:p>
        </w:tc>
        <w:tc>
          <w:tcPr>
            <w:tcW w:type="dxa" w:w="2088"/>
            <w:shd w:fill="F3F5F7"/>
            <w:vAlign w:val="center"/>
            <w:tcMar>
              <w:top w:w="75" w:type="dxa"/>
              <w:start w:w="95" w:type="dxa"/>
              <w:bottom w:w="75" w:type="dxa"/>
              <w:end w:w="95" w:type="dxa"/>
            </w:tcMar>
          </w:tcPr>
          <w:p>
            <w:r/>
            <w:r>
              <w:rPr>
                <w:rFonts w:ascii="Aptos" w:hAnsi="Aptos"/>
                <w:b w:val="0"/>
                <w:color w:val="17212B"/>
                <w:sz w:val="14"/>
              </w:rPr>
              <w:t>Exclude it from P1 and decide whether to implement, rename, or remove it.</w:t>
            </w:r>
          </w:p>
        </w:tc>
      </w:tr>
      <w:tr>
        <w:trPr>
          <w:cantSplit/>
        </w:trPr>
        <w:tc>
          <w:tcPr>
            <w:tcW w:type="dxa" w:w="1656"/>
            <w:shd w:fill="FFFFFF"/>
            <w:vAlign w:val="center"/>
            <w:tcMar>
              <w:top w:w="75" w:type="dxa"/>
              <w:start w:w="95" w:type="dxa"/>
              <w:bottom w:w="75" w:type="dxa"/>
              <w:end w:w="95" w:type="dxa"/>
            </w:tcMar>
          </w:tcPr>
          <w:p>
            <w:r/>
            <w:r>
              <w:rPr>
                <w:rFonts w:ascii="Aptos" w:hAnsi="Aptos"/>
                <w:b w:val="0"/>
                <w:color w:val="17212B"/>
                <w:sz w:val="14"/>
              </w:rPr>
              <w:t>Personalization</w:t>
            </w:r>
          </w:p>
        </w:tc>
        <w:tc>
          <w:tcPr>
            <w:tcW w:type="dxa" w:w="2448"/>
            <w:shd w:fill="FFFFFF"/>
            <w:vAlign w:val="center"/>
            <w:tcMar>
              <w:top w:w="75" w:type="dxa"/>
              <w:start w:w="95" w:type="dxa"/>
              <w:bottom w:w="75" w:type="dxa"/>
              <w:end w:w="95" w:type="dxa"/>
            </w:tcMar>
          </w:tcPr>
          <w:p>
            <w:r/>
            <w:r>
              <w:rPr>
                <w:rFonts w:ascii="Aptos" w:hAnsi="Aptos"/>
                <w:b w:val="0"/>
                <w:color w:val="17212B"/>
                <w:sz w:val="14"/>
              </w:rPr>
              <w:t>Personalized discovery feed is listed as part of the Dynamic Discovery module.</w:t>
            </w:r>
          </w:p>
        </w:tc>
        <w:tc>
          <w:tcPr>
            <w:tcW w:type="dxa" w:w="3816"/>
            <w:shd w:fill="FFFFFF"/>
            <w:vAlign w:val="center"/>
            <w:tcMar>
              <w:top w:w="75" w:type="dxa"/>
              <w:start w:w="95" w:type="dxa"/>
              <w:bottom w:w="75" w:type="dxa"/>
              <w:end w:w="95" w:type="dxa"/>
            </w:tcMar>
          </w:tcPr>
          <w:p>
            <w:r/>
            <w:r>
              <w:rPr>
                <w:rFonts w:ascii="Aptos" w:hAnsi="Aptos"/>
                <w:b w:val="0"/>
                <w:color w:val="17212B"/>
                <w:sz w:val="14"/>
              </w:rPr>
              <w:t>Personalized recommendations are a separate deterministic content-based service using interests, pockets, vouches, profile visits, and taxonomy; Hidden Gems remains Discovery Score ordered.</w:t>
            </w:r>
          </w:p>
        </w:tc>
        <w:tc>
          <w:tcPr>
            <w:tcW w:type="dxa" w:w="2088"/>
            <w:shd w:fill="FFFFFF"/>
            <w:vAlign w:val="center"/>
            <w:tcMar>
              <w:top w:w="75" w:type="dxa"/>
              <w:start w:w="95" w:type="dxa"/>
              <w:bottom w:w="75" w:type="dxa"/>
              <w:end w:w="95" w:type="dxa"/>
            </w:tcMar>
          </w:tcPr>
          <w:p>
            <w:r/>
            <w:r>
              <w:rPr>
                <w:rFonts w:ascii="Aptos" w:hAnsi="Aptos"/>
                <w:b w:val="0"/>
                <w:color w:val="17212B"/>
                <w:sz w:val="14"/>
              </w:rPr>
              <w:t>Update diagrams and demo wording so personalization and Hidden Gems are not conflated.</w:t>
            </w:r>
          </w:p>
        </w:tc>
      </w:tr>
      <w:tr>
        <w:trPr>
          <w:cantSplit/>
        </w:trPr>
        <w:tc>
          <w:tcPr>
            <w:tcW w:type="dxa" w:w="1656"/>
            <w:shd w:fill="F3F5F7"/>
            <w:vAlign w:val="center"/>
            <w:tcMar>
              <w:top w:w="75" w:type="dxa"/>
              <w:start w:w="95" w:type="dxa"/>
              <w:bottom w:w="75" w:type="dxa"/>
              <w:end w:w="95" w:type="dxa"/>
            </w:tcMar>
          </w:tcPr>
          <w:p>
            <w:r/>
            <w:r>
              <w:rPr>
                <w:rFonts w:ascii="Aptos" w:hAnsi="Aptos"/>
                <w:b w:val="0"/>
                <w:color w:val="17212B"/>
                <w:sz w:val="14"/>
              </w:rPr>
              <w:t>Taxonomy</w:t>
            </w:r>
          </w:p>
        </w:tc>
        <w:tc>
          <w:tcPr>
            <w:tcW w:type="dxa" w:w="2448"/>
            <w:shd w:fill="F3F5F7"/>
            <w:vAlign w:val="center"/>
            <w:tcMar>
              <w:top w:w="75" w:type="dxa"/>
              <w:start w:w="95" w:type="dxa"/>
              <w:bottom w:w="75" w:type="dxa"/>
              <w:end w:w="95" w:type="dxa"/>
            </w:tcMar>
          </w:tcPr>
          <w:p>
            <w:r/>
            <w:r>
              <w:rPr>
                <w:rFonts w:ascii="Aptos" w:hAnsi="Aptos"/>
                <w:b w:val="0"/>
                <w:color w:val="17212B"/>
                <w:sz w:val="14"/>
              </w:rPr>
              <w:t>Three thematic clusters are named in scope.</w:t>
            </w:r>
          </w:p>
        </w:tc>
        <w:tc>
          <w:tcPr>
            <w:tcW w:type="dxa" w:w="3816"/>
            <w:shd w:fill="F3F5F7"/>
            <w:vAlign w:val="center"/>
            <w:tcMar>
              <w:top w:w="75" w:type="dxa"/>
              <w:start w:w="95" w:type="dxa"/>
              <w:bottom w:w="75" w:type="dxa"/>
              <w:end w:w="95" w:type="dxa"/>
            </w:tcMar>
          </w:tcPr>
          <w:p>
            <w:r/>
            <w:r>
              <w:rPr>
                <w:rFonts w:ascii="Aptos" w:hAnsi="Aptos"/>
                <w:b w:val="0"/>
                <w:color w:val="17212B"/>
                <w:sz w:val="14"/>
              </w:rPr>
              <w:t>Clusters, categories, specialties, and discovery shortcuts are persisted/admin-managed taxonomy data.</w:t>
            </w:r>
          </w:p>
        </w:tc>
        <w:tc>
          <w:tcPr>
            <w:tcW w:type="dxa" w:w="2088"/>
            <w:shd w:fill="F3F5F7"/>
            <w:vAlign w:val="center"/>
            <w:tcMar>
              <w:top w:w="75" w:type="dxa"/>
              <w:start w:w="95" w:type="dxa"/>
              <w:bottom w:w="75" w:type="dxa"/>
              <w:end w:w="95" w:type="dxa"/>
            </w:tcMar>
          </w:tcPr>
          <w:p>
            <w:r/>
            <w:r>
              <w:rPr>
                <w:rFonts w:ascii="Aptos" w:hAnsi="Aptos"/>
                <w:b w:val="0"/>
                <w:color w:val="17212B"/>
                <w:sz w:val="14"/>
              </w:rPr>
              <w:t>Confirm whether only the named three clusters are allowed for evaluation or the taxonomy may evolve.</w:t>
            </w:r>
          </w:p>
        </w:tc>
      </w:tr>
      <w:tr>
        <w:trPr>
          <w:cantSplit/>
        </w:trPr>
        <w:tc>
          <w:tcPr>
            <w:tcW w:type="dxa" w:w="1656"/>
            <w:shd w:fill="FFFFFF"/>
            <w:vAlign w:val="center"/>
            <w:tcMar>
              <w:top w:w="75" w:type="dxa"/>
              <w:start w:w="95" w:type="dxa"/>
              <w:bottom w:w="75" w:type="dxa"/>
              <w:end w:w="95" w:type="dxa"/>
            </w:tcMar>
          </w:tcPr>
          <w:p>
            <w:r/>
            <w:r>
              <w:rPr>
                <w:rFonts w:ascii="Aptos" w:hAnsi="Aptos"/>
                <w:b w:val="0"/>
                <w:color w:val="17212B"/>
                <w:sz w:val="14"/>
              </w:rPr>
              <w:t>Recalculation</w:t>
            </w:r>
          </w:p>
        </w:tc>
        <w:tc>
          <w:tcPr>
            <w:tcW w:type="dxa" w:w="2448"/>
            <w:shd w:fill="FFFFFF"/>
            <w:vAlign w:val="center"/>
            <w:tcMar>
              <w:top w:w="75" w:type="dxa"/>
              <w:start w:w="95" w:type="dxa"/>
              <w:bottom w:w="75" w:type="dxa"/>
              <w:end w:w="95" w:type="dxa"/>
            </w:tcMar>
          </w:tcPr>
          <w:p>
            <w:r/>
            <w:r>
              <w:rPr>
                <w:rFonts w:ascii="Aptos" w:hAnsi="Aptos"/>
                <w:b w:val="0"/>
                <w:color w:val="17212B"/>
                <w:sz w:val="14"/>
              </w:rPr>
              <w:t>Real-time language suggests immediate ranking changes.</w:t>
            </w:r>
          </w:p>
        </w:tc>
        <w:tc>
          <w:tcPr>
            <w:tcW w:type="dxa" w:w="3816"/>
            <w:shd w:fill="FFFFFF"/>
            <w:vAlign w:val="center"/>
            <w:tcMar>
              <w:top w:w="75" w:type="dxa"/>
              <w:start w:w="95" w:type="dxa"/>
              <w:bottom w:w="75" w:type="dxa"/>
              <w:end w:w="95" w:type="dxa"/>
            </w:tcMar>
          </w:tcPr>
          <w:p>
            <w:r/>
            <w:r>
              <w:rPr>
                <w:rFonts w:ascii="Aptos" w:hAnsi="Aptos"/>
                <w:b w:val="0"/>
                <w:color w:val="17212B"/>
                <w:sz w:val="14"/>
              </w:rPr>
              <w:t>Scores are stored and recomputed daily through Celery/Redis, with retry and stale-write protection.</w:t>
            </w:r>
          </w:p>
        </w:tc>
        <w:tc>
          <w:tcPr>
            <w:tcW w:type="dxa" w:w="2088"/>
            <w:shd w:fill="FFFFFF"/>
            <w:vAlign w:val="center"/>
            <w:tcMar>
              <w:top w:w="75" w:type="dxa"/>
              <w:start w:w="95" w:type="dxa"/>
              <w:bottom w:w="75" w:type="dxa"/>
              <w:end w:w="95" w:type="dxa"/>
            </w:tcMar>
          </w:tcPr>
          <w:p>
            <w:r/>
            <w:r>
              <w:rPr>
                <w:rFonts w:ascii="Aptos" w:hAnsi="Aptos"/>
                <w:b w:val="0"/>
                <w:color w:val="17212B"/>
                <w:sz w:val="14"/>
              </w:rPr>
              <w:t>Change “real-time” wording or approve a separate on-demand demo recomputation path.</w:t>
            </w:r>
          </w:p>
        </w:tc>
      </w:tr>
    </w:tbl>
    <w:p>
      <w:pPr>
        <w:spacing w:after="0"/>
      </w:pPr>
    </w:p>
    <w:p>
      <w:r>
        <w:br w:type="page"/>
      </w:r>
    </w:p>
    <w:p>
      <w:pPr>
        <w:pStyle w:val="Heading1"/>
      </w:pPr>
      <w:r>
        <w:t>7. Questions to consult with the professor</w:t>
      </w:r>
    </w:p>
    <w:tbl>
      <w:tblPr>
        <w:tblStyle w:val="TableGrid"/>
        <w:tblW w:type="auto" w:w="0"/>
        <w:jc w:val="center"/>
        <w:tblLook w:firstColumn="1" w:firstRow="1" w:lastColumn="0" w:lastRow="0" w:noHBand="0" w:noVBand="1" w:val="04A0"/>
      </w:tblPr>
      <w:tblGrid>
        <w:gridCol w:w="3317"/>
        <w:gridCol w:w="3317"/>
        <w:gridCol w:w="3317"/>
      </w:tblGrid>
      <w:tr>
        <w:trPr>
          <w:tblHeader w:val="true"/>
        </w:trPr>
        <w:tc>
          <w:tcPr>
            <w:tcW w:type="dxa" w:w="2664"/>
            <w:shd w:fill="17324D"/>
            <w:vAlign w:val="center"/>
            <w:tcMar>
              <w:top w:w="75" w:type="dxa"/>
              <w:start w:w="95" w:type="dxa"/>
              <w:bottom w:w="75" w:type="dxa"/>
              <w:end w:w="95" w:type="dxa"/>
            </w:tcMar>
          </w:tcPr>
          <w:p>
            <w:r/>
            <w:r>
              <w:rPr>
                <w:rFonts w:ascii="Aptos" w:hAnsi="Aptos"/>
                <w:b/>
                <w:color w:val="FFFFFF"/>
                <w:sz w:val="16"/>
              </w:rPr>
              <w:t>Decision needed</w:t>
            </w:r>
          </w:p>
        </w:tc>
        <w:tc>
          <w:tcPr>
            <w:tcW w:type="dxa" w:w="4104"/>
            <w:shd w:fill="17324D"/>
            <w:vAlign w:val="center"/>
            <w:tcMar>
              <w:top w:w="75" w:type="dxa"/>
              <w:start w:w="95" w:type="dxa"/>
              <w:bottom w:w="75" w:type="dxa"/>
              <w:end w:w="95" w:type="dxa"/>
            </w:tcMar>
          </w:tcPr>
          <w:p>
            <w:r/>
            <w:r>
              <w:rPr>
                <w:rFonts w:ascii="Aptos" w:hAnsi="Aptos"/>
                <w:b/>
                <w:color w:val="FFFFFF"/>
                <w:sz w:val="16"/>
              </w:rPr>
              <w:t>Why it matters</w:t>
            </w:r>
          </w:p>
        </w:tc>
        <w:tc>
          <w:tcPr>
            <w:tcW w:type="dxa" w:w="3240"/>
            <w:shd w:fill="17324D"/>
            <w:vAlign w:val="center"/>
            <w:tcMar>
              <w:top w:w="75" w:type="dxa"/>
              <w:start w:w="95" w:type="dxa"/>
              <w:bottom w:w="75" w:type="dxa"/>
              <w:end w:w="95" w:type="dxa"/>
            </w:tcMar>
          </w:tcPr>
          <w:p>
            <w:r/>
            <w:r>
              <w:rPr>
                <w:rFonts w:ascii="Aptos" w:hAnsi="Aptos"/>
                <w:b/>
                <w:color w:val="FFFFFF"/>
                <w:sz w:val="16"/>
              </w:rPr>
              <w:t>Suggested position</w:t>
            </w:r>
          </w:p>
        </w:tc>
      </w:tr>
      <w:tr>
        <w:trPr>
          <w:cantSplit/>
        </w:trPr>
        <w:tc>
          <w:tcPr>
            <w:tcW w:type="dxa" w:w="2664"/>
            <w:shd w:fill="FFFFFF"/>
            <w:vAlign w:val="center"/>
            <w:tcMar>
              <w:top w:w="75" w:type="dxa"/>
              <w:start w:w="95" w:type="dxa"/>
              <w:bottom w:w="75" w:type="dxa"/>
              <w:end w:w="95" w:type="dxa"/>
            </w:tcMar>
          </w:tcPr>
          <w:p>
            <w:r/>
            <w:r>
              <w:rPr>
                <w:rFonts w:ascii="Aptos" w:hAnsi="Aptos"/>
                <w:b w:val="0"/>
                <w:color w:val="17212B"/>
                <w:sz w:val="15"/>
              </w:rPr>
              <w:t>Is the minimum AOEA approval slice officially part of P1?</w:t>
            </w:r>
          </w:p>
        </w:tc>
        <w:tc>
          <w:tcPr>
            <w:tcW w:type="dxa" w:w="4104"/>
            <w:shd w:fill="FFFFFF"/>
            <w:vAlign w:val="center"/>
            <w:tcMar>
              <w:top w:w="75" w:type="dxa"/>
              <w:start w:w="95" w:type="dxa"/>
              <w:bottom w:w="75" w:type="dxa"/>
              <w:end w:w="95" w:type="dxa"/>
            </w:tcMar>
          </w:tcPr>
          <w:p>
            <w:r/>
            <w:r>
              <w:rPr>
                <w:rFonts w:ascii="Aptos" w:hAnsi="Aptos"/>
                <w:b w:val="0"/>
                <w:color w:val="17212B"/>
                <w:sz w:val="15"/>
              </w:rPr>
              <w:t>SAG cannot achieve approval/rejection or publication without an administrator.</w:t>
            </w:r>
          </w:p>
        </w:tc>
        <w:tc>
          <w:tcPr>
            <w:tcW w:type="dxa" w:w="3240"/>
            <w:shd w:fill="FFFFFF"/>
            <w:vAlign w:val="center"/>
            <w:tcMar>
              <w:top w:w="75" w:type="dxa"/>
              <w:start w:w="95" w:type="dxa"/>
              <w:bottom w:w="75" w:type="dxa"/>
              <w:end w:w="95" w:type="dxa"/>
            </w:tcMar>
          </w:tcPr>
          <w:p>
            <w:r/>
            <w:r>
              <w:rPr>
                <w:rFonts w:ascii="Aptos" w:hAnsi="Aptos"/>
                <w:b w:val="0"/>
                <w:color w:val="17212B"/>
                <w:sz w:val="15"/>
              </w:rPr>
              <w:t>Yes, classify it as a P1 enabler; keep full AOEA analytics/governance in P3.</w:t>
            </w:r>
          </w:p>
        </w:tc>
      </w:tr>
      <w:tr>
        <w:trPr>
          <w:cantSplit/>
        </w:trPr>
        <w:tc>
          <w:tcPr>
            <w:tcW w:type="dxa" w:w="2664"/>
            <w:shd w:fill="F3F5F7"/>
            <w:vAlign w:val="center"/>
            <w:tcMar>
              <w:top w:w="75" w:type="dxa"/>
              <w:start w:w="95" w:type="dxa"/>
              <w:bottom w:w="75" w:type="dxa"/>
              <w:end w:w="95" w:type="dxa"/>
            </w:tcMar>
          </w:tcPr>
          <w:p>
            <w:r/>
            <w:r>
              <w:rPr>
                <w:rFonts w:ascii="Aptos" w:hAnsi="Aptos"/>
                <w:b w:val="0"/>
                <w:color w:val="17212B"/>
                <w:sz w:val="15"/>
              </w:rPr>
              <w:t>What does “role switching” mean?</w:t>
            </w:r>
          </w:p>
        </w:tc>
        <w:tc>
          <w:tcPr>
            <w:tcW w:type="dxa" w:w="4104"/>
            <w:shd w:fill="F3F5F7"/>
            <w:vAlign w:val="center"/>
            <w:tcMar>
              <w:top w:w="75" w:type="dxa"/>
              <w:start w:w="95" w:type="dxa"/>
              <w:bottom w:w="75" w:type="dxa"/>
              <w:end w:w="95" w:type="dxa"/>
            </w:tcMar>
          </w:tcPr>
          <w:p>
            <w:r/>
            <w:r>
              <w:rPr>
                <w:rFonts w:ascii="Aptos" w:hAnsi="Aptos"/>
                <w:b w:val="0"/>
                <w:color w:val="17212B"/>
                <w:sz w:val="15"/>
              </w:rPr>
              <w:t>The repository uses one server role plus a separate Explorer/Merchant UI mode after approval.</w:t>
            </w:r>
          </w:p>
        </w:tc>
        <w:tc>
          <w:tcPr>
            <w:tcW w:type="dxa" w:w="3240"/>
            <w:shd w:fill="F3F5F7"/>
            <w:vAlign w:val="center"/>
            <w:tcMar>
              <w:top w:w="75" w:type="dxa"/>
              <w:start w:w="95" w:type="dxa"/>
              <w:bottom w:w="75" w:type="dxa"/>
              <w:end w:w="95" w:type="dxa"/>
            </w:tcMar>
          </w:tcPr>
          <w:p>
            <w:r/>
            <w:r>
              <w:rPr>
                <w:rFonts w:ascii="Aptos" w:hAnsi="Aptos"/>
                <w:b w:val="0"/>
                <w:color w:val="17212B"/>
                <w:sz w:val="15"/>
              </w:rPr>
              <w:t>Define Merchant as one identity that can use both presentations; document permissions for each mode.</w:t>
            </w:r>
          </w:p>
        </w:tc>
      </w:tr>
      <w:tr>
        <w:trPr>
          <w:cantSplit/>
        </w:trPr>
        <w:tc>
          <w:tcPr>
            <w:tcW w:type="dxa" w:w="2664"/>
            <w:shd w:fill="FFFFFF"/>
            <w:vAlign w:val="center"/>
            <w:tcMar>
              <w:top w:w="75" w:type="dxa"/>
              <w:start w:w="95" w:type="dxa"/>
              <w:bottom w:w="75" w:type="dxa"/>
              <w:end w:w="95" w:type="dxa"/>
            </w:tcMar>
          </w:tcPr>
          <w:p>
            <w:r/>
            <w:r>
              <w:rPr>
                <w:rFonts w:ascii="Aptos" w:hAnsi="Aptos"/>
                <w:b w:val="0"/>
                <w:color w:val="17212B"/>
                <w:sz w:val="15"/>
              </w:rPr>
              <w:t>Does approval equal Hidden Gem qualification?</w:t>
            </w:r>
          </w:p>
        </w:tc>
        <w:tc>
          <w:tcPr>
            <w:tcW w:type="dxa" w:w="4104"/>
            <w:shd w:fill="FFFFFF"/>
            <w:vAlign w:val="center"/>
            <w:tcMar>
              <w:top w:w="75" w:type="dxa"/>
              <w:start w:w="95" w:type="dxa"/>
              <w:bottom w:w="75" w:type="dxa"/>
              <w:end w:w="95" w:type="dxa"/>
            </w:tcMar>
          </w:tcPr>
          <w:p>
            <w:r/>
            <w:r>
              <w:rPr>
                <w:rFonts w:ascii="Aptos" w:hAnsi="Aptos"/>
                <w:b w:val="0"/>
                <w:color w:val="17212B"/>
                <w:sz w:val="15"/>
              </w:rPr>
              <w:t>Approval makes a business active, but score evidence may still be zero and fairness is not yet proven.</w:t>
            </w:r>
          </w:p>
        </w:tc>
        <w:tc>
          <w:tcPr>
            <w:tcW w:type="dxa" w:w="3240"/>
            <w:shd w:fill="FFFFFF"/>
            <w:vAlign w:val="center"/>
            <w:tcMar>
              <w:top w:w="75" w:type="dxa"/>
              <w:start w:w="95" w:type="dxa"/>
              <w:bottom w:w="75" w:type="dxa"/>
              <w:end w:w="95" w:type="dxa"/>
            </w:tcMar>
          </w:tcPr>
          <w:p>
            <w:r/>
            <w:r>
              <w:rPr>
                <w:rFonts w:ascii="Aptos" w:hAnsi="Aptos"/>
                <w:b w:val="0"/>
                <w:color w:val="17212B"/>
                <w:sz w:val="15"/>
              </w:rPr>
              <w:t>Approval grants eligibility/publication; Hidden Gems position is decided by the Discovery Score.</w:t>
            </w:r>
          </w:p>
        </w:tc>
      </w:tr>
      <w:tr>
        <w:trPr>
          <w:cantSplit/>
        </w:trPr>
        <w:tc>
          <w:tcPr>
            <w:tcW w:type="dxa" w:w="2664"/>
            <w:shd w:fill="F3F5F7"/>
            <w:vAlign w:val="center"/>
            <w:tcMar>
              <w:top w:w="75" w:type="dxa"/>
              <w:start w:w="95" w:type="dxa"/>
              <w:bottom w:w="75" w:type="dxa"/>
              <w:end w:w="95" w:type="dxa"/>
            </w:tcMar>
          </w:tcPr>
          <w:p>
            <w:r/>
            <w:r>
              <w:rPr>
                <w:rFonts w:ascii="Aptos" w:hAnsi="Aptos"/>
                <w:b w:val="0"/>
                <w:color w:val="17212B"/>
                <w:sz w:val="15"/>
              </w:rPr>
              <w:t>Should a new approved business appear before its first score run?</w:t>
            </w:r>
          </w:p>
        </w:tc>
        <w:tc>
          <w:tcPr>
            <w:tcW w:type="dxa" w:w="4104"/>
            <w:shd w:fill="F3F5F7"/>
            <w:vAlign w:val="center"/>
            <w:tcMar>
              <w:top w:w="75" w:type="dxa"/>
              <w:start w:w="95" w:type="dxa"/>
              <w:bottom w:w="75" w:type="dxa"/>
              <w:end w:w="95" w:type="dxa"/>
            </w:tcMar>
          </w:tcPr>
          <w:p>
            <w:r/>
            <w:r>
              <w:rPr>
                <w:rFonts w:ascii="Aptos" w:hAnsi="Aptos"/>
                <w:b w:val="0"/>
                <w:color w:val="17212B"/>
                <w:sz w:val="15"/>
              </w:rPr>
              <w:t>Current code publishes it immediately with effective score zero.</w:t>
            </w:r>
          </w:p>
        </w:tc>
        <w:tc>
          <w:tcPr>
            <w:tcW w:type="dxa" w:w="3240"/>
            <w:shd w:fill="F3F5F7"/>
            <w:vAlign w:val="center"/>
            <w:tcMar>
              <w:top w:w="75" w:type="dxa"/>
              <w:start w:w="95" w:type="dxa"/>
              <w:bottom w:w="75" w:type="dxa"/>
              <w:end w:w="95" w:type="dxa"/>
            </w:tcMar>
          </w:tcPr>
          <w:p>
            <w:r/>
            <w:r>
              <w:rPr>
                <w:rFonts w:ascii="Aptos" w:hAnsi="Aptos"/>
                <w:b w:val="0"/>
                <w:color w:val="17212B"/>
                <w:sz w:val="15"/>
              </w:rPr>
              <w:t>Keep immediate discoverability, show score freshness, then include it in the next recomputation.</w:t>
            </w:r>
          </w:p>
        </w:tc>
      </w:tr>
      <w:tr>
        <w:trPr>
          <w:cantSplit/>
        </w:trPr>
        <w:tc>
          <w:tcPr>
            <w:tcW w:type="dxa" w:w="2664"/>
            <w:shd w:fill="FFFFFF"/>
            <w:vAlign w:val="center"/>
            <w:tcMar>
              <w:top w:w="75" w:type="dxa"/>
              <w:start w:w="95" w:type="dxa"/>
              <w:bottom w:w="75" w:type="dxa"/>
              <w:end w:w="95" w:type="dxa"/>
            </w:tcMar>
          </w:tcPr>
          <w:p>
            <w:r/>
            <w:r>
              <w:rPr>
                <w:rFonts w:ascii="Aptos" w:hAnsi="Aptos"/>
                <w:b w:val="0"/>
                <w:color w:val="17212B"/>
                <w:sz w:val="15"/>
              </w:rPr>
              <w:t>Which discovery formula is authoritative?</w:t>
            </w:r>
          </w:p>
        </w:tc>
        <w:tc>
          <w:tcPr>
            <w:tcW w:type="dxa" w:w="4104"/>
            <w:shd w:fill="FFFFFF"/>
            <w:vAlign w:val="center"/>
            <w:tcMar>
              <w:top w:w="75" w:type="dxa"/>
              <w:start w:w="95" w:type="dxa"/>
              <w:bottom w:w="75" w:type="dxa"/>
              <w:end w:w="95" w:type="dxa"/>
            </w:tcMar>
          </w:tcPr>
          <w:p>
            <w:r/>
            <w:r>
              <w:rPr>
                <w:rFonts w:ascii="Aptos" w:hAnsi="Aptos"/>
                <w:b w:val="0"/>
                <w:color w:val="17212B"/>
                <w:sz w:val="15"/>
              </w:rPr>
              <w:t>Manuscript 60/40 conflicts with repository 80/20.</w:t>
            </w:r>
          </w:p>
        </w:tc>
        <w:tc>
          <w:tcPr>
            <w:tcW w:type="dxa" w:w="3240"/>
            <w:shd w:fill="FFFFFF"/>
            <w:vAlign w:val="center"/>
            <w:tcMar>
              <w:top w:w="75" w:type="dxa"/>
              <w:start w:w="95" w:type="dxa"/>
              <w:bottom w:w="75" w:type="dxa"/>
              <w:end w:w="95" w:type="dxa"/>
            </w:tcMar>
          </w:tcPr>
          <w:p>
            <w:r/>
            <w:r>
              <w:rPr>
                <w:rFonts w:ascii="Aptos" w:hAnsi="Aptos"/>
                <w:b w:val="0"/>
                <w:color w:val="17212B"/>
                <w:sz w:val="15"/>
              </w:rPr>
              <w:t>Approve the current 80/20 default for the frozen prototype and update the manuscript, unless evaluation justifies another version.</w:t>
            </w:r>
          </w:p>
        </w:tc>
      </w:tr>
      <w:tr>
        <w:trPr>
          <w:cantSplit/>
        </w:trPr>
        <w:tc>
          <w:tcPr>
            <w:tcW w:type="dxa" w:w="2664"/>
            <w:shd w:fill="F3F5F7"/>
            <w:vAlign w:val="center"/>
            <w:tcMar>
              <w:top w:w="75" w:type="dxa"/>
              <w:start w:w="95" w:type="dxa"/>
              <w:bottom w:w="75" w:type="dxa"/>
              <w:end w:w="95" w:type="dxa"/>
            </w:tcMar>
          </w:tcPr>
          <w:p>
            <w:r/>
            <w:r>
              <w:rPr>
                <w:rFonts w:ascii="Aptos" w:hAnsi="Aptos"/>
                <w:b w:val="0"/>
                <w:color w:val="17212B"/>
                <w:sz w:val="15"/>
              </w:rPr>
              <w:t>Are randomized exposure and rotation still required?</w:t>
            </w:r>
          </w:p>
        </w:tc>
        <w:tc>
          <w:tcPr>
            <w:tcW w:type="dxa" w:w="4104"/>
            <w:shd w:fill="F3F5F7"/>
            <w:vAlign w:val="center"/>
            <w:tcMar>
              <w:top w:w="75" w:type="dxa"/>
              <w:start w:w="95" w:type="dxa"/>
              <w:bottom w:w="75" w:type="dxa"/>
              <w:end w:w="95" w:type="dxa"/>
            </w:tcMar>
          </w:tcPr>
          <w:p>
            <w:r/>
            <w:r>
              <w:rPr>
                <w:rFonts w:ascii="Aptos" w:hAnsi="Aptos"/>
                <w:b w:val="0"/>
                <w:color w:val="17212B"/>
                <w:sz w:val="15"/>
              </w:rPr>
              <w:t>Current Hidden Gems is deterministic; an unmeasured random feed could reduce reproducibility.</w:t>
            </w:r>
          </w:p>
        </w:tc>
        <w:tc>
          <w:tcPr>
            <w:tcW w:type="dxa" w:w="3240"/>
            <w:shd w:fill="F3F5F7"/>
            <w:vAlign w:val="center"/>
            <w:tcMar>
              <w:top w:w="75" w:type="dxa"/>
              <w:start w:w="95" w:type="dxa"/>
              <w:bottom w:w="75" w:type="dxa"/>
              <w:end w:w="95" w:type="dxa"/>
            </w:tcMar>
          </w:tcPr>
          <w:p>
            <w:r/>
            <w:r>
              <w:rPr>
                <w:rFonts w:ascii="Aptos" w:hAnsi="Aptos"/>
                <w:b w:val="0"/>
                <w:color w:val="17212B"/>
                <w:sz w:val="15"/>
              </w:rPr>
              <w:t>Do not claim randomization in P1. Evaluate controlled rotation/fairness in P2 only if required.</w:t>
            </w:r>
          </w:p>
        </w:tc>
      </w:tr>
      <w:tr>
        <w:trPr>
          <w:cantSplit/>
        </w:trPr>
        <w:tc>
          <w:tcPr>
            <w:tcW w:type="dxa" w:w="2664"/>
            <w:shd w:fill="FFFFFF"/>
            <w:vAlign w:val="center"/>
            <w:tcMar>
              <w:top w:w="75" w:type="dxa"/>
              <w:start w:w="95" w:type="dxa"/>
              <w:bottom w:w="75" w:type="dxa"/>
              <w:end w:w="95" w:type="dxa"/>
            </w:tcMar>
          </w:tcPr>
          <w:p>
            <w:r/>
            <w:r>
              <w:rPr>
                <w:rFonts w:ascii="Aptos" w:hAnsi="Aptos"/>
                <w:b w:val="0"/>
                <w:color w:val="17212B"/>
                <w:sz w:val="15"/>
              </w:rPr>
              <w:t>Is “real-time trend integration” still in scope?</w:t>
            </w:r>
          </w:p>
        </w:tc>
        <w:tc>
          <w:tcPr>
            <w:tcW w:type="dxa" w:w="4104"/>
            <w:shd w:fill="FFFFFF"/>
            <w:vAlign w:val="center"/>
            <w:tcMar>
              <w:top w:w="75" w:type="dxa"/>
              <w:start w:w="95" w:type="dxa"/>
              <w:bottom w:w="75" w:type="dxa"/>
              <w:end w:w="95" w:type="dxa"/>
            </w:tcMar>
          </w:tcPr>
          <w:p>
            <w:r/>
            <w:r>
              <w:rPr>
                <w:rFonts w:ascii="Aptos" w:hAnsi="Aptos"/>
                <w:b w:val="0"/>
                <w:color w:val="17212B"/>
                <w:sz w:val="15"/>
              </w:rPr>
              <w:t>Current trend UI is mock-backed and cannot be defended as live behavior.</w:t>
            </w:r>
          </w:p>
        </w:tc>
        <w:tc>
          <w:tcPr>
            <w:tcW w:type="dxa" w:w="3240"/>
            <w:shd w:fill="FFFFFF"/>
            <w:vAlign w:val="center"/>
            <w:tcMar>
              <w:top w:w="75" w:type="dxa"/>
              <w:start w:w="95" w:type="dxa"/>
              <w:bottom w:w="75" w:type="dxa"/>
              <w:end w:w="95" w:type="dxa"/>
            </w:tcMar>
          </w:tcPr>
          <w:p>
            <w:r/>
            <w:r>
              <w:rPr>
                <w:rFonts w:ascii="Aptos" w:hAnsi="Aptos"/>
                <w:b w:val="0"/>
                <w:color w:val="17212B"/>
                <w:sz w:val="15"/>
              </w:rPr>
              <w:t>Remove from P1; define a measurable trend signal for P2 or revise the module.</w:t>
            </w:r>
          </w:p>
        </w:tc>
      </w:tr>
      <w:tr>
        <w:trPr>
          <w:cantSplit/>
        </w:trPr>
        <w:tc>
          <w:tcPr>
            <w:tcW w:type="dxa" w:w="2664"/>
            <w:shd w:fill="F3F5F7"/>
            <w:vAlign w:val="center"/>
            <w:tcMar>
              <w:top w:w="75" w:type="dxa"/>
              <w:start w:w="95" w:type="dxa"/>
              <w:bottom w:w="75" w:type="dxa"/>
              <w:end w:w="95" w:type="dxa"/>
            </w:tcMar>
          </w:tcPr>
          <w:p>
            <w:r/>
            <w:r>
              <w:rPr>
                <w:rFonts w:ascii="Aptos" w:hAnsi="Aptos"/>
                <w:b w:val="0"/>
                <w:color w:val="17212B"/>
                <w:sz w:val="15"/>
              </w:rPr>
              <w:t>Is daily score recomputation acceptable?</w:t>
            </w:r>
          </w:p>
        </w:tc>
        <w:tc>
          <w:tcPr>
            <w:tcW w:type="dxa" w:w="4104"/>
            <w:shd w:fill="F3F5F7"/>
            <w:vAlign w:val="center"/>
            <w:tcMar>
              <w:top w:w="75" w:type="dxa"/>
              <w:start w:w="95" w:type="dxa"/>
              <w:bottom w:w="75" w:type="dxa"/>
              <w:end w:w="95" w:type="dxa"/>
            </w:tcMar>
          </w:tcPr>
          <w:p>
            <w:r/>
            <w:r>
              <w:rPr>
                <w:rFonts w:ascii="Aptos" w:hAnsi="Aptos"/>
                <w:b w:val="0"/>
                <w:color w:val="17212B"/>
                <w:sz w:val="15"/>
              </w:rPr>
              <w:t>The repository intentionally stores scores and updates them through a scheduled task.</w:t>
            </w:r>
          </w:p>
        </w:tc>
        <w:tc>
          <w:tcPr>
            <w:tcW w:type="dxa" w:w="3240"/>
            <w:shd w:fill="F3F5F7"/>
            <w:vAlign w:val="center"/>
            <w:tcMar>
              <w:top w:w="75" w:type="dxa"/>
              <w:start w:w="95" w:type="dxa"/>
              <w:bottom w:w="75" w:type="dxa"/>
              <w:end w:w="95" w:type="dxa"/>
            </w:tcMar>
          </w:tcPr>
          <w:p>
            <w:r/>
            <w:r>
              <w:rPr>
                <w:rFonts w:ascii="Aptos" w:hAnsi="Aptos"/>
                <w:b w:val="0"/>
                <w:color w:val="17212B"/>
                <w:sz w:val="15"/>
              </w:rPr>
              <w:t>Describe it as periodically refreshed. Use a controlled manual task only for demonstration.</w:t>
            </w:r>
          </w:p>
        </w:tc>
      </w:tr>
      <w:tr>
        <w:trPr>
          <w:cantSplit/>
        </w:trPr>
        <w:tc>
          <w:tcPr>
            <w:tcW w:type="dxa" w:w="2664"/>
            <w:shd w:fill="FFFFFF"/>
            <w:vAlign w:val="center"/>
            <w:tcMar>
              <w:top w:w="75" w:type="dxa"/>
              <w:start w:w="95" w:type="dxa"/>
              <w:bottom w:w="75" w:type="dxa"/>
              <w:end w:w="95" w:type="dxa"/>
            </w:tcMar>
          </w:tcPr>
          <w:p>
            <w:r/>
            <w:r>
              <w:rPr>
                <w:rFonts w:ascii="Aptos" w:hAnsi="Aptos"/>
                <w:b w:val="0"/>
                <w:color w:val="17212B"/>
                <w:sz w:val="15"/>
              </w:rPr>
              <w:t>What P1 dataset is sufficient?</w:t>
            </w:r>
          </w:p>
        </w:tc>
        <w:tc>
          <w:tcPr>
            <w:tcW w:type="dxa" w:w="4104"/>
            <w:shd w:fill="FFFFFF"/>
            <w:vAlign w:val="center"/>
            <w:tcMar>
              <w:top w:w="75" w:type="dxa"/>
              <w:start w:w="95" w:type="dxa"/>
              <w:bottom w:w="75" w:type="dxa"/>
              <w:end w:w="95" w:type="dxa"/>
            </w:tcMar>
          </w:tcPr>
          <w:p>
            <w:r/>
            <w:r>
              <w:rPr>
                <w:rFonts w:ascii="Aptos" w:hAnsi="Aptos"/>
                <w:b w:val="0"/>
                <w:color w:val="17212B"/>
                <w:sz w:val="15"/>
              </w:rPr>
              <w:t>One approved business proves publication but cannot support a meaningful discovery comparison.</w:t>
            </w:r>
          </w:p>
        </w:tc>
        <w:tc>
          <w:tcPr>
            <w:tcW w:type="dxa" w:w="3240"/>
            <w:shd w:fill="FFFFFF"/>
            <w:vAlign w:val="center"/>
            <w:tcMar>
              <w:top w:w="75" w:type="dxa"/>
              <w:start w:w="95" w:type="dxa"/>
              <w:bottom w:w="75" w:type="dxa"/>
              <w:end w:w="95" w:type="dxa"/>
            </w:tcMar>
          </w:tcPr>
          <w:p>
            <w:r/>
            <w:r>
              <w:rPr>
                <w:rFonts w:ascii="Aptos" w:hAnsi="Aptos"/>
                <w:b w:val="0"/>
                <w:color w:val="17212B"/>
                <w:sz w:val="15"/>
              </w:rPr>
              <w:t>Agree on minimum active businesses by category/cluster plus vouch and visibility-event counts.</w:t>
            </w:r>
          </w:p>
        </w:tc>
      </w:tr>
      <w:tr>
        <w:trPr>
          <w:cantSplit/>
        </w:trPr>
        <w:tc>
          <w:tcPr>
            <w:tcW w:type="dxa" w:w="2664"/>
            <w:shd w:fill="F3F5F7"/>
            <w:vAlign w:val="center"/>
            <w:tcMar>
              <w:top w:w="75" w:type="dxa"/>
              <w:start w:w="95" w:type="dxa"/>
              <w:bottom w:w="75" w:type="dxa"/>
              <w:end w:w="95" w:type="dxa"/>
            </w:tcMar>
          </w:tcPr>
          <w:p>
            <w:r/>
            <w:r>
              <w:rPr>
                <w:rFonts w:ascii="Aptos" w:hAnsi="Aptos"/>
                <w:b w:val="0"/>
                <w:color w:val="17212B"/>
                <w:sz w:val="15"/>
              </w:rPr>
              <w:t>Which authentication paths must be demonstrated?</w:t>
            </w:r>
          </w:p>
        </w:tc>
        <w:tc>
          <w:tcPr>
            <w:tcW w:type="dxa" w:w="4104"/>
            <w:shd w:fill="F3F5F7"/>
            <w:vAlign w:val="center"/>
            <w:tcMar>
              <w:top w:w="75" w:type="dxa"/>
              <w:start w:w="95" w:type="dxa"/>
              <w:bottom w:w="75" w:type="dxa"/>
              <w:end w:w="95" w:type="dxa"/>
            </w:tcMar>
          </w:tcPr>
          <w:p>
            <w:r/>
            <w:r>
              <w:rPr>
                <w:rFonts w:ascii="Aptos" w:hAnsi="Aptos"/>
                <w:b w:val="0"/>
                <w:color w:val="17212B"/>
                <w:sz w:val="15"/>
              </w:rPr>
              <w:t>Email/password, verification/reset, Google, and Facebook increase the demo surface and external risk.</w:t>
            </w:r>
          </w:p>
        </w:tc>
        <w:tc>
          <w:tcPr>
            <w:tcW w:type="dxa" w:w="3240"/>
            <w:shd w:fill="F3F5F7"/>
            <w:vAlign w:val="center"/>
            <w:tcMar>
              <w:top w:w="75" w:type="dxa"/>
              <w:start w:w="95" w:type="dxa"/>
              <w:bottom w:w="75" w:type="dxa"/>
              <w:end w:w="95" w:type="dxa"/>
            </w:tcMar>
          </w:tcPr>
          <w:p>
            <w:r/>
            <w:r>
              <w:rPr>
                <w:rFonts w:ascii="Aptos" w:hAnsi="Aptos"/>
                <w:b w:val="0"/>
                <w:color w:val="17212B"/>
                <w:sz w:val="15"/>
              </w:rPr>
              <w:t>Live-demo the primary path and authorization/session controls; present tested evidence for optional OAuth paths unless explicitly required.</w:t>
            </w:r>
          </w:p>
        </w:tc>
      </w:tr>
      <w:tr>
        <w:trPr>
          <w:cantSplit/>
        </w:trPr>
        <w:tc>
          <w:tcPr>
            <w:tcW w:type="dxa" w:w="2664"/>
            <w:shd w:fill="FFFFFF"/>
            <w:vAlign w:val="center"/>
            <w:tcMar>
              <w:top w:w="75" w:type="dxa"/>
              <w:start w:w="95" w:type="dxa"/>
              <w:bottom w:w="75" w:type="dxa"/>
              <w:end w:w="95" w:type="dxa"/>
            </w:tcMar>
          </w:tcPr>
          <w:p>
            <w:r/>
            <w:r>
              <w:rPr>
                <w:rFonts w:ascii="Aptos" w:hAnsi="Aptos"/>
                <w:b w:val="0"/>
                <w:color w:val="17212B"/>
                <w:sz w:val="15"/>
              </w:rPr>
              <w:t>What admission evidence is mandatory?</w:t>
            </w:r>
          </w:p>
        </w:tc>
        <w:tc>
          <w:tcPr>
            <w:tcW w:type="dxa" w:w="4104"/>
            <w:shd w:fill="FFFFFF"/>
            <w:vAlign w:val="center"/>
            <w:tcMar>
              <w:top w:w="75" w:type="dxa"/>
              <w:start w:w="95" w:type="dxa"/>
              <w:bottom w:w="75" w:type="dxa"/>
              <w:end w:w="95" w:type="dxa"/>
            </w:tcMar>
          </w:tcPr>
          <w:p>
            <w:r/>
            <w:r>
              <w:rPr>
                <w:rFonts w:ascii="Aptos" w:hAnsi="Aptos"/>
                <w:b w:val="0"/>
                <w:color w:val="17212B"/>
                <w:sz w:val="15"/>
              </w:rPr>
              <w:t>The repository collects business registration, media, location, hours, and specialties, but legal sufficiency is an academic/domain decision.</w:t>
            </w:r>
          </w:p>
        </w:tc>
        <w:tc>
          <w:tcPr>
            <w:tcW w:type="dxa" w:w="3240"/>
            <w:shd w:fill="FFFFFF"/>
            <w:vAlign w:val="center"/>
            <w:tcMar>
              <w:top w:w="75" w:type="dxa"/>
              <w:start w:w="95" w:type="dxa"/>
              <w:bottom w:w="75" w:type="dxa"/>
              <w:end w:w="95" w:type="dxa"/>
            </w:tcMar>
          </w:tcPr>
          <w:p>
            <w:r/>
            <w:r>
              <w:rPr>
                <w:rFonts w:ascii="Aptos" w:hAnsi="Aptos"/>
                <w:b w:val="0"/>
                <w:color w:val="17212B"/>
                <w:sz w:val="15"/>
              </w:rPr>
              <w:t>Approve required documents, eligibility rules, reviewer rubric, feedback rules, and acceptable review SLA.</w:t>
            </w:r>
          </w:p>
        </w:tc>
      </w:tr>
      <w:tr>
        <w:trPr>
          <w:cantSplit/>
        </w:trPr>
        <w:tc>
          <w:tcPr>
            <w:tcW w:type="dxa" w:w="2664"/>
            <w:shd w:fill="F3F5F7"/>
            <w:vAlign w:val="center"/>
            <w:tcMar>
              <w:top w:w="75" w:type="dxa"/>
              <w:start w:w="95" w:type="dxa"/>
              <w:bottom w:w="75" w:type="dxa"/>
              <w:end w:w="95" w:type="dxa"/>
            </w:tcMar>
          </w:tcPr>
          <w:p>
            <w:r/>
            <w:r>
              <w:rPr>
                <w:rFonts w:ascii="Aptos" w:hAnsi="Aptos"/>
                <w:b w:val="0"/>
                <w:color w:val="17212B"/>
                <w:sz w:val="15"/>
              </w:rPr>
              <w:t>What counts as P1 acceptance?</w:t>
            </w:r>
          </w:p>
        </w:tc>
        <w:tc>
          <w:tcPr>
            <w:tcW w:type="dxa" w:w="4104"/>
            <w:shd w:fill="F3F5F7"/>
            <w:vAlign w:val="center"/>
            <w:tcMar>
              <w:top w:w="75" w:type="dxa"/>
              <w:start w:w="95" w:type="dxa"/>
              <w:bottom w:w="75" w:type="dxa"/>
              <w:end w:w="95" w:type="dxa"/>
            </w:tcMar>
          </w:tcPr>
          <w:p>
            <w:r/>
            <w:r>
              <w:rPr>
                <w:rFonts w:ascii="Aptos" w:hAnsi="Aptos"/>
                <w:b w:val="0"/>
                <w:color w:val="17212B"/>
                <w:sz w:val="15"/>
              </w:rPr>
              <w:t>Module presence alone does not prove the end-to-end workflow.</w:t>
            </w:r>
          </w:p>
        </w:tc>
        <w:tc>
          <w:tcPr>
            <w:tcW w:type="dxa" w:w="3240"/>
            <w:shd w:fill="F3F5F7"/>
            <w:vAlign w:val="center"/>
            <w:tcMar>
              <w:top w:w="75" w:type="dxa"/>
              <w:start w:w="95" w:type="dxa"/>
              <w:bottom w:w="75" w:type="dxa"/>
              <w:end w:w="95" w:type="dxa"/>
            </w:tcMar>
          </w:tcPr>
          <w:p>
            <w:r/>
            <w:r>
              <w:rPr>
                <w:rFonts w:ascii="Aptos" w:hAnsi="Aptos"/>
                <w:b w:val="0"/>
                <w:color w:val="17212B"/>
                <w:sz w:val="15"/>
              </w:rPr>
              <w:t>Approve the testable claim, checklist, evidence set, and threshold before the prototype review.</w:t>
            </w:r>
          </w:p>
        </w:tc>
      </w:tr>
    </w:tbl>
    <w:p>
      <w:pPr>
        <w:spacing w:after="0"/>
      </w:pPr>
    </w:p>
    <w:p>
      <w:pPr>
        <w:pStyle w:val="Heading2"/>
      </w:pPr>
      <w:r>
        <w:t>Suggested consultation opening</w:t>
      </w:r>
    </w:p>
    <w:tbl>
      <w:tblPr>
        <w:tblW w:type="auto" w:w="0"/>
        <w:jc w:val="center"/>
        <w:tblLayout w:type="fixed"/>
        <w:tblLook w:firstColumn="1" w:firstRow="1" w:lastColumn="0" w:lastRow="0" w:noHBand="0" w:noVBand="1" w:val="04A0"/>
      </w:tblPr>
      <w:tblGrid>
        <w:gridCol w:w="4975"/>
        <w:gridCol w:w="4975"/>
      </w:tblGrid>
      <w:tr>
        <w:tc>
          <w:tcPr>
            <w:tcW w:type="dxa" w:w="144"/>
            <w:shd w:fill="D99A2B"/>
            <w:tcMar>
              <w:top w:w="0" w:type="dxa"/>
              <w:start w:w="0" w:type="dxa"/>
              <w:bottom w:w="0" w:type="dxa"/>
              <w:end w:w="0" w:type="dxa"/>
            </w:tcMar>
          </w:tcPr>
          <w:p/>
        </w:tc>
        <w:tc>
          <w:tcPr>
            <w:tcW w:type="dxa" w:w="9864"/>
            <w:shd w:fill="FFF5DF"/>
            <w:tcMar>
              <w:top w:w="120" w:type="dxa"/>
              <w:start w:w="150" w:type="dxa"/>
              <w:bottom w:w="120" w:type="dxa"/>
              <w:end w:w="150" w:type="dxa"/>
            </w:tcMar>
          </w:tcPr>
          <w:p>
            <w:r/>
            <w:r>
              <w:rPr>
                <w:rFonts w:ascii="Aptos Display" w:hAnsi="Aptos Display"/>
                <w:b/>
                <w:color w:val="D99A2B"/>
                <w:sz w:val="21"/>
              </w:rPr>
              <w:t>Discussion prompt</w:t>
            </w:r>
          </w:p>
          <w:p>
            <w:pPr>
              <w:pStyle w:val="BodyText"/>
              <w:spacing w:after="0"/>
            </w:pPr>
            <w:r>
              <w:t>“For Prototype 1, we want to prove one complete journey from identity to approved business discovery. We need your approval on the minimum admin slice, the meaning of Merchant role switching, which Discovery claims are deferred to P2, and which manuscript changes should be adopted.”</w:t>
            </w:r>
          </w:p>
        </w:tc>
      </w:tr>
    </w:tbl>
    <w:p>
      <w:pPr>
        <w:spacing w:after="0"/>
      </w:pPr>
    </w:p>
    <w:p>
      <w:r>
        <w:br w:type="page"/>
      </w:r>
    </w:p>
    <w:p>
      <w:pPr>
        <w:pStyle w:val="Heading1"/>
      </w:pPr>
      <w:r>
        <w:t>8. Prototype 1 demo run sheet</w:t>
      </w:r>
    </w:p>
    <w:tbl>
      <w:tblPr>
        <w:tblStyle w:val="TableGrid"/>
        <w:tblW w:type="auto" w:w="0"/>
        <w:jc w:val="center"/>
        <w:tblLook w:firstColumn="1" w:firstRow="1" w:lastColumn="0" w:lastRow="0" w:noHBand="0" w:noVBand="1" w:val="04A0"/>
      </w:tblPr>
      <w:tblGrid>
        <w:gridCol w:w="2488"/>
        <w:gridCol w:w="2488"/>
        <w:gridCol w:w="2488"/>
        <w:gridCol w:w="2488"/>
      </w:tblGrid>
      <w:tr>
        <w:trPr>
          <w:tblHeader w:val="true"/>
        </w:trPr>
        <w:tc>
          <w:tcPr>
            <w:tcW w:type="dxa" w:w="504"/>
            <w:shd w:fill="17324D"/>
            <w:vAlign w:val="center"/>
            <w:tcMar>
              <w:top w:w="75" w:type="dxa"/>
              <w:start w:w="95" w:type="dxa"/>
              <w:bottom w:w="75" w:type="dxa"/>
              <w:end w:w="95" w:type="dxa"/>
            </w:tcMar>
          </w:tcPr>
          <w:p>
            <w:r/>
            <w:r>
              <w:rPr>
                <w:rFonts w:ascii="Aptos" w:hAnsi="Aptos"/>
                <w:b/>
                <w:color w:val="FFFFFF"/>
                <w:sz w:val="16"/>
              </w:rPr>
              <w:t>Step</w:t>
            </w:r>
          </w:p>
        </w:tc>
        <w:tc>
          <w:tcPr>
            <w:tcW w:type="dxa" w:w="1224"/>
            <w:shd w:fill="17324D"/>
            <w:vAlign w:val="center"/>
            <w:tcMar>
              <w:top w:w="75" w:type="dxa"/>
              <w:start w:w="95" w:type="dxa"/>
              <w:bottom w:w="75" w:type="dxa"/>
              <w:end w:w="95" w:type="dxa"/>
            </w:tcMar>
          </w:tcPr>
          <w:p>
            <w:r/>
            <w:r>
              <w:rPr>
                <w:rFonts w:ascii="Aptos" w:hAnsi="Aptos"/>
                <w:b/>
                <w:color w:val="FFFFFF"/>
                <w:sz w:val="16"/>
              </w:rPr>
              <w:t>Actor</w:t>
            </w:r>
          </w:p>
        </w:tc>
        <w:tc>
          <w:tcPr>
            <w:tcW w:type="dxa" w:w="4824"/>
            <w:shd w:fill="17324D"/>
            <w:vAlign w:val="center"/>
            <w:tcMar>
              <w:top w:w="75" w:type="dxa"/>
              <w:start w:w="95" w:type="dxa"/>
              <w:bottom w:w="75" w:type="dxa"/>
              <w:end w:w="95" w:type="dxa"/>
            </w:tcMar>
          </w:tcPr>
          <w:p>
            <w:r/>
            <w:r>
              <w:rPr>
                <w:rFonts w:ascii="Aptos" w:hAnsi="Aptos"/>
                <w:b/>
                <w:color w:val="FFFFFF"/>
                <w:sz w:val="16"/>
              </w:rPr>
              <w:t>Action</w:t>
            </w:r>
          </w:p>
        </w:tc>
        <w:tc>
          <w:tcPr>
            <w:tcW w:type="dxa" w:w="3384"/>
            <w:shd w:fill="17324D"/>
            <w:vAlign w:val="center"/>
            <w:tcMar>
              <w:top w:w="75" w:type="dxa"/>
              <w:start w:w="95" w:type="dxa"/>
              <w:bottom w:w="75" w:type="dxa"/>
              <w:end w:w="95" w:type="dxa"/>
            </w:tcMar>
          </w:tcPr>
          <w:p>
            <w:r/>
            <w:r>
              <w:rPr>
                <w:rFonts w:ascii="Aptos" w:hAnsi="Aptos"/>
                <w:b/>
                <w:color w:val="FFFFFF"/>
                <w:sz w:val="16"/>
              </w:rPr>
              <w:t>Pass evidence</w:t>
            </w:r>
          </w:p>
        </w:tc>
      </w:tr>
      <w:tr>
        <w:trPr>
          <w:cantSplit/>
        </w:trPr>
        <w:tc>
          <w:tcPr>
            <w:tcW w:type="dxa" w:w="504"/>
            <w:shd w:fill="FFFFFF"/>
            <w:vAlign w:val="center"/>
            <w:tcMar>
              <w:top w:w="75" w:type="dxa"/>
              <w:start w:w="95" w:type="dxa"/>
              <w:bottom w:w="75" w:type="dxa"/>
              <w:end w:w="95" w:type="dxa"/>
            </w:tcMar>
          </w:tcPr>
          <w:p>
            <w:r/>
            <w:r>
              <w:rPr>
                <w:rFonts w:ascii="Aptos" w:hAnsi="Aptos"/>
                <w:b w:val="0"/>
                <w:color w:val="17212B"/>
                <w:sz w:val="15"/>
              </w:rPr>
              <w:t>1</w:t>
            </w:r>
          </w:p>
        </w:tc>
        <w:tc>
          <w:tcPr>
            <w:tcW w:type="dxa" w:w="1224"/>
            <w:shd w:fill="FFFFFF"/>
            <w:vAlign w:val="center"/>
            <w:tcMar>
              <w:top w:w="75" w:type="dxa"/>
              <w:start w:w="95" w:type="dxa"/>
              <w:bottom w:w="75" w:type="dxa"/>
              <w:end w:w="95" w:type="dxa"/>
            </w:tcMar>
          </w:tcPr>
          <w:p>
            <w:r/>
            <w:r>
              <w:rPr>
                <w:rFonts w:ascii="Aptos" w:hAnsi="Aptos"/>
                <w:b w:val="0"/>
                <w:color w:val="17212B"/>
                <w:sz w:val="15"/>
              </w:rPr>
              <w:t>Explorer</w:t>
            </w:r>
          </w:p>
        </w:tc>
        <w:tc>
          <w:tcPr>
            <w:tcW w:type="dxa" w:w="4824"/>
            <w:shd w:fill="FFFFFF"/>
            <w:vAlign w:val="center"/>
            <w:tcMar>
              <w:top w:w="75" w:type="dxa"/>
              <w:start w:w="95" w:type="dxa"/>
              <w:bottom w:w="75" w:type="dxa"/>
              <w:end w:w="95" w:type="dxa"/>
            </w:tcMar>
          </w:tcPr>
          <w:p>
            <w:r/>
            <w:r>
              <w:rPr>
                <w:rFonts w:ascii="Aptos" w:hAnsi="Aptos"/>
                <w:b w:val="0"/>
                <w:color w:val="17212B"/>
                <w:sz w:val="15"/>
              </w:rPr>
              <w:t>Register/sign in and open Merchant Portal.</w:t>
            </w:r>
          </w:p>
        </w:tc>
        <w:tc>
          <w:tcPr>
            <w:tcW w:type="dxa" w:w="3384"/>
            <w:shd w:fill="FFFFFF"/>
            <w:vAlign w:val="center"/>
            <w:tcMar>
              <w:top w:w="75" w:type="dxa"/>
              <w:start w:w="95" w:type="dxa"/>
              <w:bottom w:w="75" w:type="dxa"/>
              <w:end w:w="95" w:type="dxa"/>
            </w:tcMar>
          </w:tcPr>
          <w:p>
            <w:r/>
            <w:r>
              <w:rPr>
                <w:rFonts w:ascii="Aptos" w:hAnsi="Aptos"/>
                <w:b w:val="0"/>
                <w:color w:val="17212B"/>
                <w:sz w:val="15"/>
              </w:rPr>
              <w:t>Verified identity, active session, correct role and profile.</w:t>
            </w:r>
          </w:p>
        </w:tc>
      </w:tr>
      <w:tr>
        <w:trPr>
          <w:cantSplit/>
        </w:trPr>
        <w:tc>
          <w:tcPr>
            <w:tcW w:type="dxa" w:w="504"/>
            <w:shd w:fill="F3F5F7"/>
            <w:vAlign w:val="center"/>
            <w:tcMar>
              <w:top w:w="75" w:type="dxa"/>
              <w:start w:w="95" w:type="dxa"/>
              <w:bottom w:w="75" w:type="dxa"/>
              <w:end w:w="95" w:type="dxa"/>
            </w:tcMar>
          </w:tcPr>
          <w:p>
            <w:r/>
            <w:r>
              <w:rPr>
                <w:rFonts w:ascii="Aptos" w:hAnsi="Aptos"/>
                <w:b w:val="0"/>
                <w:color w:val="17212B"/>
                <w:sz w:val="15"/>
              </w:rPr>
              <w:t>2</w:t>
            </w:r>
          </w:p>
        </w:tc>
        <w:tc>
          <w:tcPr>
            <w:tcW w:type="dxa" w:w="1224"/>
            <w:shd w:fill="F3F5F7"/>
            <w:vAlign w:val="center"/>
            <w:tcMar>
              <w:top w:w="75" w:type="dxa"/>
              <w:start w:w="95" w:type="dxa"/>
              <w:bottom w:w="75" w:type="dxa"/>
              <w:end w:w="95" w:type="dxa"/>
            </w:tcMar>
          </w:tcPr>
          <w:p>
            <w:r/>
            <w:r>
              <w:rPr>
                <w:rFonts w:ascii="Aptos" w:hAnsi="Aptos"/>
                <w:b w:val="0"/>
                <w:color w:val="17212B"/>
                <w:sz w:val="15"/>
              </w:rPr>
              <w:t>Applicant</w:t>
            </w:r>
          </w:p>
        </w:tc>
        <w:tc>
          <w:tcPr>
            <w:tcW w:type="dxa" w:w="4824"/>
            <w:shd w:fill="F3F5F7"/>
            <w:vAlign w:val="center"/>
            <w:tcMar>
              <w:top w:w="75" w:type="dxa"/>
              <w:start w:w="95" w:type="dxa"/>
              <w:bottom w:w="75" w:type="dxa"/>
              <w:end w:w="95" w:type="dxa"/>
            </w:tcMar>
          </w:tcPr>
          <w:p>
            <w:r/>
            <w:r>
              <w:rPr>
                <w:rFonts w:ascii="Aptos" w:hAnsi="Aptos"/>
                <w:b w:val="0"/>
                <w:color w:val="17212B"/>
                <w:sz w:val="15"/>
              </w:rPr>
              <w:t>Complete the five application sections, leave, and resume.</w:t>
            </w:r>
          </w:p>
        </w:tc>
        <w:tc>
          <w:tcPr>
            <w:tcW w:type="dxa" w:w="3384"/>
            <w:shd w:fill="F3F5F7"/>
            <w:vAlign w:val="center"/>
            <w:tcMar>
              <w:top w:w="75" w:type="dxa"/>
              <w:start w:w="95" w:type="dxa"/>
              <w:bottom w:w="75" w:type="dxa"/>
              <w:end w:w="95" w:type="dxa"/>
            </w:tcMar>
          </w:tcPr>
          <w:p>
            <w:r/>
            <w:r>
              <w:rPr>
                <w:rFonts w:ascii="Aptos" w:hAnsi="Aptos"/>
                <w:b w:val="0"/>
                <w:color w:val="17212B"/>
                <w:sz w:val="15"/>
              </w:rPr>
              <w:t>Progress and all required records restore correctly.</w:t>
            </w:r>
          </w:p>
        </w:tc>
      </w:tr>
      <w:tr>
        <w:trPr>
          <w:cantSplit/>
        </w:trPr>
        <w:tc>
          <w:tcPr>
            <w:tcW w:type="dxa" w:w="504"/>
            <w:shd w:fill="FFFFFF"/>
            <w:vAlign w:val="center"/>
            <w:tcMar>
              <w:top w:w="75" w:type="dxa"/>
              <w:start w:w="95" w:type="dxa"/>
              <w:bottom w:w="75" w:type="dxa"/>
              <w:end w:w="95" w:type="dxa"/>
            </w:tcMar>
          </w:tcPr>
          <w:p>
            <w:r/>
            <w:r>
              <w:rPr>
                <w:rFonts w:ascii="Aptos" w:hAnsi="Aptos"/>
                <w:b w:val="0"/>
                <w:color w:val="17212B"/>
                <w:sz w:val="15"/>
              </w:rPr>
              <w:t>3</w:t>
            </w:r>
          </w:p>
        </w:tc>
        <w:tc>
          <w:tcPr>
            <w:tcW w:type="dxa" w:w="1224"/>
            <w:shd w:fill="FFFFFF"/>
            <w:vAlign w:val="center"/>
            <w:tcMar>
              <w:top w:w="75" w:type="dxa"/>
              <w:start w:w="95" w:type="dxa"/>
              <w:bottom w:w="75" w:type="dxa"/>
              <w:end w:w="95" w:type="dxa"/>
            </w:tcMar>
          </w:tcPr>
          <w:p>
            <w:r/>
            <w:r>
              <w:rPr>
                <w:rFonts w:ascii="Aptos" w:hAnsi="Aptos"/>
                <w:b w:val="0"/>
                <w:color w:val="17212B"/>
                <w:sz w:val="15"/>
              </w:rPr>
              <w:t>Applicant</w:t>
            </w:r>
          </w:p>
        </w:tc>
        <w:tc>
          <w:tcPr>
            <w:tcW w:type="dxa" w:w="4824"/>
            <w:shd w:fill="FFFFFF"/>
            <w:vAlign w:val="center"/>
            <w:tcMar>
              <w:top w:w="75" w:type="dxa"/>
              <w:start w:w="95" w:type="dxa"/>
              <w:bottom w:w="75" w:type="dxa"/>
              <w:end w:w="95" w:type="dxa"/>
            </w:tcMar>
          </w:tcPr>
          <w:p>
            <w:r/>
            <w:r>
              <w:rPr>
                <w:rFonts w:ascii="Aptos" w:hAnsi="Aptos"/>
                <w:b w:val="0"/>
                <w:color w:val="17212B"/>
                <w:sz w:val="15"/>
              </w:rPr>
              <w:t>Submit the valid application.</w:t>
            </w:r>
          </w:p>
        </w:tc>
        <w:tc>
          <w:tcPr>
            <w:tcW w:type="dxa" w:w="3384"/>
            <w:shd w:fill="FFFFFF"/>
            <w:vAlign w:val="center"/>
            <w:tcMar>
              <w:top w:w="75" w:type="dxa"/>
              <w:start w:w="95" w:type="dxa"/>
              <w:bottom w:w="75" w:type="dxa"/>
              <w:end w:w="95" w:type="dxa"/>
            </w:tcMar>
          </w:tcPr>
          <w:p>
            <w:r/>
            <w:r>
              <w:rPr>
                <w:rFonts w:ascii="Aptos" w:hAnsi="Aptos"/>
                <w:b w:val="0"/>
                <w:color w:val="17212B"/>
                <w:sz w:val="15"/>
              </w:rPr>
              <w:t>Submitted state, timestamp, submission #1; editing locked.</w:t>
            </w:r>
          </w:p>
        </w:tc>
      </w:tr>
      <w:tr>
        <w:trPr>
          <w:cantSplit/>
        </w:trPr>
        <w:tc>
          <w:tcPr>
            <w:tcW w:type="dxa" w:w="504"/>
            <w:shd w:fill="F3F5F7"/>
            <w:vAlign w:val="center"/>
            <w:tcMar>
              <w:top w:w="75" w:type="dxa"/>
              <w:start w:w="95" w:type="dxa"/>
              <w:bottom w:w="75" w:type="dxa"/>
              <w:end w:w="95" w:type="dxa"/>
            </w:tcMar>
          </w:tcPr>
          <w:p>
            <w:r/>
            <w:r>
              <w:rPr>
                <w:rFonts w:ascii="Aptos" w:hAnsi="Aptos"/>
                <w:b w:val="0"/>
                <w:color w:val="17212B"/>
                <w:sz w:val="15"/>
              </w:rPr>
              <w:t>4</w:t>
            </w:r>
          </w:p>
        </w:tc>
        <w:tc>
          <w:tcPr>
            <w:tcW w:type="dxa" w:w="1224"/>
            <w:shd w:fill="F3F5F7"/>
            <w:vAlign w:val="center"/>
            <w:tcMar>
              <w:top w:w="75" w:type="dxa"/>
              <w:start w:w="95" w:type="dxa"/>
              <w:bottom w:w="75" w:type="dxa"/>
              <w:end w:w="95" w:type="dxa"/>
            </w:tcMar>
          </w:tcPr>
          <w:p>
            <w:r/>
            <w:r>
              <w:rPr>
                <w:rFonts w:ascii="Aptos" w:hAnsi="Aptos"/>
                <w:b w:val="0"/>
                <w:color w:val="17212B"/>
                <w:sz w:val="15"/>
              </w:rPr>
              <w:t>Explorer</w:t>
            </w:r>
          </w:p>
        </w:tc>
        <w:tc>
          <w:tcPr>
            <w:tcW w:type="dxa" w:w="4824"/>
            <w:shd w:fill="F3F5F7"/>
            <w:vAlign w:val="center"/>
            <w:tcMar>
              <w:top w:w="75" w:type="dxa"/>
              <w:start w:w="95" w:type="dxa"/>
              <w:bottom w:w="75" w:type="dxa"/>
              <w:end w:w="95" w:type="dxa"/>
            </w:tcMar>
          </w:tcPr>
          <w:p>
            <w:r/>
            <w:r>
              <w:rPr>
                <w:rFonts w:ascii="Aptos" w:hAnsi="Aptos"/>
                <w:b w:val="0"/>
                <w:color w:val="17212B"/>
                <w:sz w:val="15"/>
              </w:rPr>
              <w:t>Search for the applicant business before approval.</w:t>
            </w:r>
          </w:p>
        </w:tc>
        <w:tc>
          <w:tcPr>
            <w:tcW w:type="dxa" w:w="3384"/>
            <w:shd w:fill="F3F5F7"/>
            <w:vAlign w:val="center"/>
            <w:tcMar>
              <w:top w:w="75" w:type="dxa"/>
              <w:start w:w="95" w:type="dxa"/>
              <w:bottom w:w="75" w:type="dxa"/>
              <w:end w:w="95" w:type="dxa"/>
            </w:tcMar>
          </w:tcPr>
          <w:p>
            <w:r/>
            <w:r>
              <w:rPr>
                <w:rFonts w:ascii="Aptos" w:hAnsi="Aptos"/>
                <w:b w:val="0"/>
                <w:color w:val="17212B"/>
                <w:sz w:val="15"/>
              </w:rPr>
              <w:t>No public active business result.</w:t>
            </w:r>
          </w:p>
        </w:tc>
      </w:tr>
      <w:tr>
        <w:trPr>
          <w:cantSplit/>
        </w:trPr>
        <w:tc>
          <w:tcPr>
            <w:tcW w:type="dxa" w:w="504"/>
            <w:shd w:fill="FFFFFF"/>
            <w:vAlign w:val="center"/>
            <w:tcMar>
              <w:top w:w="75" w:type="dxa"/>
              <w:start w:w="95" w:type="dxa"/>
              <w:bottom w:w="75" w:type="dxa"/>
              <w:end w:w="95" w:type="dxa"/>
            </w:tcMar>
          </w:tcPr>
          <w:p>
            <w:r/>
            <w:r>
              <w:rPr>
                <w:rFonts w:ascii="Aptos" w:hAnsi="Aptos"/>
                <w:b w:val="0"/>
                <w:color w:val="17212B"/>
                <w:sz w:val="15"/>
              </w:rPr>
              <w:t>5</w:t>
            </w:r>
          </w:p>
        </w:tc>
        <w:tc>
          <w:tcPr>
            <w:tcW w:type="dxa" w:w="1224"/>
            <w:shd w:fill="FFFFFF"/>
            <w:vAlign w:val="center"/>
            <w:tcMar>
              <w:top w:w="75" w:type="dxa"/>
              <w:start w:w="95" w:type="dxa"/>
              <w:bottom w:w="75" w:type="dxa"/>
              <w:end w:w="95" w:type="dxa"/>
            </w:tcMar>
          </w:tcPr>
          <w:p>
            <w:r/>
            <w:r>
              <w:rPr>
                <w:rFonts w:ascii="Aptos" w:hAnsi="Aptos"/>
                <w:b w:val="0"/>
                <w:color w:val="17212B"/>
                <w:sz w:val="15"/>
              </w:rPr>
              <w:t>Admin</w:t>
            </w:r>
          </w:p>
        </w:tc>
        <w:tc>
          <w:tcPr>
            <w:tcW w:type="dxa" w:w="4824"/>
            <w:shd w:fill="FFFFFF"/>
            <w:vAlign w:val="center"/>
            <w:tcMar>
              <w:top w:w="75" w:type="dxa"/>
              <w:start w:w="95" w:type="dxa"/>
              <w:bottom w:w="75" w:type="dxa"/>
              <w:end w:w="95" w:type="dxa"/>
            </w:tcMar>
          </w:tcPr>
          <w:p>
            <w:r/>
            <w:r>
              <w:rPr>
                <w:rFonts w:ascii="Aptos" w:hAnsi="Aptos"/>
                <w:b w:val="0"/>
                <w:color w:val="17212B"/>
                <w:sz w:val="15"/>
              </w:rPr>
              <w:t>Open queue, inspect evidence, and reject the rehearsal case with section feedback.</w:t>
            </w:r>
          </w:p>
        </w:tc>
        <w:tc>
          <w:tcPr>
            <w:tcW w:type="dxa" w:w="3384"/>
            <w:shd w:fill="FFFFFF"/>
            <w:vAlign w:val="center"/>
            <w:tcMar>
              <w:top w:w="75" w:type="dxa"/>
              <w:start w:w="95" w:type="dxa"/>
              <w:bottom w:w="75" w:type="dxa"/>
              <w:end w:w="95" w:type="dxa"/>
            </w:tcMar>
          </w:tcPr>
          <w:p>
            <w:r/>
            <w:r>
              <w:rPr>
                <w:rFonts w:ascii="Aptos" w:hAnsi="Aptos"/>
                <w:b w:val="0"/>
                <w:color w:val="17212B"/>
                <w:sz w:val="15"/>
              </w:rPr>
              <w:t>Attributed rejection and feedback; no Business record.</w:t>
            </w:r>
          </w:p>
        </w:tc>
      </w:tr>
      <w:tr>
        <w:trPr>
          <w:cantSplit/>
        </w:trPr>
        <w:tc>
          <w:tcPr>
            <w:tcW w:type="dxa" w:w="504"/>
            <w:shd w:fill="F3F5F7"/>
            <w:vAlign w:val="center"/>
            <w:tcMar>
              <w:top w:w="75" w:type="dxa"/>
              <w:start w:w="95" w:type="dxa"/>
              <w:bottom w:w="75" w:type="dxa"/>
              <w:end w:w="95" w:type="dxa"/>
            </w:tcMar>
          </w:tcPr>
          <w:p>
            <w:r/>
            <w:r>
              <w:rPr>
                <w:rFonts w:ascii="Aptos" w:hAnsi="Aptos"/>
                <w:b w:val="0"/>
                <w:color w:val="17212B"/>
                <w:sz w:val="15"/>
              </w:rPr>
              <w:t>6</w:t>
            </w:r>
          </w:p>
        </w:tc>
        <w:tc>
          <w:tcPr>
            <w:tcW w:type="dxa" w:w="1224"/>
            <w:shd w:fill="F3F5F7"/>
            <w:vAlign w:val="center"/>
            <w:tcMar>
              <w:top w:w="75" w:type="dxa"/>
              <w:start w:w="95" w:type="dxa"/>
              <w:bottom w:w="75" w:type="dxa"/>
              <w:end w:w="95" w:type="dxa"/>
            </w:tcMar>
          </w:tcPr>
          <w:p>
            <w:r/>
            <w:r>
              <w:rPr>
                <w:rFonts w:ascii="Aptos" w:hAnsi="Aptos"/>
                <w:b w:val="0"/>
                <w:color w:val="17212B"/>
                <w:sz w:val="15"/>
              </w:rPr>
              <w:t>Applicant</w:t>
            </w:r>
          </w:p>
        </w:tc>
        <w:tc>
          <w:tcPr>
            <w:tcW w:type="dxa" w:w="4824"/>
            <w:shd w:fill="F3F5F7"/>
            <w:vAlign w:val="center"/>
            <w:tcMar>
              <w:top w:w="75" w:type="dxa"/>
              <w:start w:w="95" w:type="dxa"/>
              <w:bottom w:w="75" w:type="dxa"/>
              <w:end w:w="95" w:type="dxa"/>
            </w:tcMar>
          </w:tcPr>
          <w:p>
            <w:r/>
            <w:r>
              <w:rPr>
                <w:rFonts w:ascii="Aptos" w:hAnsi="Aptos"/>
                <w:b w:val="0"/>
                <w:color w:val="17212B"/>
                <w:sz w:val="15"/>
              </w:rPr>
              <w:t>Correct and resubmit.</w:t>
            </w:r>
          </w:p>
        </w:tc>
        <w:tc>
          <w:tcPr>
            <w:tcW w:type="dxa" w:w="3384"/>
            <w:shd w:fill="F3F5F7"/>
            <w:vAlign w:val="center"/>
            <w:tcMar>
              <w:top w:w="75" w:type="dxa"/>
              <w:start w:w="95" w:type="dxa"/>
              <w:bottom w:w="75" w:type="dxa"/>
              <w:end w:w="95" w:type="dxa"/>
            </w:tcMar>
          </w:tcPr>
          <w:p>
            <w:r/>
            <w:r>
              <w:rPr>
                <w:rFonts w:ascii="Aptos" w:hAnsi="Aptos"/>
                <w:b w:val="0"/>
                <w:color w:val="17212B"/>
                <w:sz w:val="15"/>
              </w:rPr>
              <w:t>Submission #2 retained with earlier review history.</w:t>
            </w:r>
          </w:p>
        </w:tc>
      </w:tr>
      <w:tr>
        <w:trPr>
          <w:cantSplit/>
        </w:trPr>
        <w:tc>
          <w:tcPr>
            <w:tcW w:type="dxa" w:w="504"/>
            <w:shd w:fill="FFFFFF"/>
            <w:vAlign w:val="center"/>
            <w:tcMar>
              <w:top w:w="75" w:type="dxa"/>
              <w:start w:w="95" w:type="dxa"/>
              <w:bottom w:w="75" w:type="dxa"/>
              <w:end w:w="95" w:type="dxa"/>
            </w:tcMar>
          </w:tcPr>
          <w:p>
            <w:r/>
            <w:r>
              <w:rPr>
                <w:rFonts w:ascii="Aptos" w:hAnsi="Aptos"/>
                <w:b w:val="0"/>
                <w:color w:val="17212B"/>
                <w:sz w:val="15"/>
              </w:rPr>
              <w:t>7</w:t>
            </w:r>
          </w:p>
        </w:tc>
        <w:tc>
          <w:tcPr>
            <w:tcW w:type="dxa" w:w="1224"/>
            <w:shd w:fill="FFFFFF"/>
            <w:vAlign w:val="center"/>
            <w:tcMar>
              <w:top w:w="75" w:type="dxa"/>
              <w:start w:w="95" w:type="dxa"/>
              <w:bottom w:w="75" w:type="dxa"/>
              <w:end w:w="95" w:type="dxa"/>
            </w:tcMar>
          </w:tcPr>
          <w:p>
            <w:r/>
            <w:r>
              <w:rPr>
                <w:rFonts w:ascii="Aptos" w:hAnsi="Aptos"/>
                <w:b w:val="0"/>
                <w:color w:val="17212B"/>
                <w:sz w:val="15"/>
              </w:rPr>
              <w:t>Admin</w:t>
            </w:r>
          </w:p>
        </w:tc>
        <w:tc>
          <w:tcPr>
            <w:tcW w:type="dxa" w:w="4824"/>
            <w:shd w:fill="FFFFFF"/>
            <w:vAlign w:val="center"/>
            <w:tcMar>
              <w:top w:w="75" w:type="dxa"/>
              <w:start w:w="95" w:type="dxa"/>
              <w:bottom w:w="75" w:type="dxa"/>
              <w:end w:w="95" w:type="dxa"/>
            </w:tcMar>
          </w:tcPr>
          <w:p>
            <w:r/>
            <w:r>
              <w:rPr>
                <w:rFonts w:ascii="Aptos" w:hAnsi="Aptos"/>
                <w:b w:val="0"/>
                <w:color w:val="17212B"/>
                <w:sz w:val="15"/>
              </w:rPr>
              <w:t>Approve the corrected submission.</w:t>
            </w:r>
          </w:p>
        </w:tc>
        <w:tc>
          <w:tcPr>
            <w:tcW w:type="dxa" w:w="3384"/>
            <w:shd w:fill="FFFFFF"/>
            <w:vAlign w:val="center"/>
            <w:tcMar>
              <w:top w:w="75" w:type="dxa"/>
              <w:start w:w="95" w:type="dxa"/>
              <w:bottom w:w="75" w:type="dxa"/>
              <w:end w:w="95" w:type="dxa"/>
            </w:tcMar>
          </w:tcPr>
          <w:p>
            <w:r/>
            <w:r>
              <w:rPr>
                <w:rFonts w:ascii="Aptos" w:hAnsi="Aptos"/>
                <w:b w:val="0"/>
                <w:color w:val="17212B"/>
                <w:sz w:val="15"/>
              </w:rPr>
              <w:t>Review record; one linked active Business; copied fields; Merchant role.</w:t>
            </w:r>
          </w:p>
        </w:tc>
      </w:tr>
      <w:tr>
        <w:trPr>
          <w:cantSplit/>
        </w:trPr>
        <w:tc>
          <w:tcPr>
            <w:tcW w:type="dxa" w:w="504"/>
            <w:shd w:fill="F3F5F7"/>
            <w:vAlign w:val="center"/>
            <w:tcMar>
              <w:top w:w="75" w:type="dxa"/>
              <w:start w:w="95" w:type="dxa"/>
              <w:bottom w:w="75" w:type="dxa"/>
              <w:end w:w="95" w:type="dxa"/>
            </w:tcMar>
          </w:tcPr>
          <w:p>
            <w:r/>
            <w:r>
              <w:rPr>
                <w:rFonts w:ascii="Aptos" w:hAnsi="Aptos"/>
                <w:b w:val="0"/>
                <w:color w:val="17212B"/>
                <w:sz w:val="15"/>
              </w:rPr>
              <w:t>8</w:t>
            </w:r>
          </w:p>
        </w:tc>
        <w:tc>
          <w:tcPr>
            <w:tcW w:type="dxa" w:w="1224"/>
            <w:shd w:fill="F3F5F7"/>
            <w:vAlign w:val="center"/>
            <w:tcMar>
              <w:top w:w="75" w:type="dxa"/>
              <w:start w:w="95" w:type="dxa"/>
              <w:bottom w:w="75" w:type="dxa"/>
              <w:end w:w="95" w:type="dxa"/>
            </w:tcMar>
          </w:tcPr>
          <w:p>
            <w:r/>
            <w:r>
              <w:rPr>
                <w:rFonts w:ascii="Aptos" w:hAnsi="Aptos"/>
                <w:b w:val="0"/>
                <w:color w:val="17212B"/>
                <w:sz w:val="15"/>
              </w:rPr>
              <w:t>Merchant</w:t>
            </w:r>
          </w:p>
        </w:tc>
        <w:tc>
          <w:tcPr>
            <w:tcW w:type="dxa" w:w="4824"/>
            <w:shd w:fill="F3F5F7"/>
            <w:vAlign w:val="center"/>
            <w:tcMar>
              <w:top w:w="75" w:type="dxa"/>
              <w:start w:w="95" w:type="dxa"/>
              <w:bottom w:w="75" w:type="dxa"/>
              <w:end w:w="95" w:type="dxa"/>
            </w:tcMar>
          </w:tcPr>
          <w:p>
            <w:r/>
            <w:r>
              <w:rPr>
                <w:rFonts w:ascii="Aptos" w:hAnsi="Aptos"/>
                <w:b w:val="0"/>
                <w:color w:val="17212B"/>
                <w:sz w:val="15"/>
              </w:rPr>
              <w:t>Refresh profile, acknowledge, and enter Merchant Mode.</w:t>
            </w:r>
          </w:p>
        </w:tc>
        <w:tc>
          <w:tcPr>
            <w:tcW w:type="dxa" w:w="3384"/>
            <w:shd w:fill="F3F5F7"/>
            <w:vAlign w:val="center"/>
            <w:tcMar>
              <w:top w:w="75" w:type="dxa"/>
              <w:start w:w="95" w:type="dxa"/>
              <w:bottom w:w="75" w:type="dxa"/>
              <w:end w:w="95" w:type="dxa"/>
            </w:tcMar>
          </w:tcPr>
          <w:p>
            <w:r/>
            <w:r>
              <w:rPr>
                <w:rFonts w:ascii="Aptos" w:hAnsi="Aptos"/>
                <w:b w:val="0"/>
                <w:color w:val="17212B"/>
                <w:sz w:val="15"/>
              </w:rPr>
              <w:t>Mode unlocked only after approval and acknowledgement.</w:t>
            </w:r>
          </w:p>
        </w:tc>
      </w:tr>
      <w:tr>
        <w:trPr>
          <w:cantSplit/>
        </w:trPr>
        <w:tc>
          <w:tcPr>
            <w:tcW w:type="dxa" w:w="504"/>
            <w:shd w:fill="FFFFFF"/>
            <w:vAlign w:val="center"/>
            <w:tcMar>
              <w:top w:w="75" w:type="dxa"/>
              <w:start w:w="95" w:type="dxa"/>
              <w:bottom w:w="75" w:type="dxa"/>
              <w:end w:w="95" w:type="dxa"/>
            </w:tcMar>
          </w:tcPr>
          <w:p>
            <w:r/>
            <w:r>
              <w:rPr>
                <w:rFonts w:ascii="Aptos" w:hAnsi="Aptos"/>
                <w:b w:val="0"/>
                <w:color w:val="17212B"/>
                <w:sz w:val="15"/>
              </w:rPr>
              <w:t>9</w:t>
            </w:r>
          </w:p>
        </w:tc>
        <w:tc>
          <w:tcPr>
            <w:tcW w:type="dxa" w:w="1224"/>
            <w:shd w:fill="FFFFFF"/>
            <w:vAlign w:val="center"/>
            <w:tcMar>
              <w:top w:w="75" w:type="dxa"/>
              <w:start w:w="95" w:type="dxa"/>
              <w:bottom w:w="75" w:type="dxa"/>
              <w:end w:w="95" w:type="dxa"/>
            </w:tcMar>
          </w:tcPr>
          <w:p>
            <w:r/>
            <w:r>
              <w:rPr>
                <w:rFonts w:ascii="Aptos" w:hAnsi="Aptos"/>
                <w:b w:val="0"/>
                <w:color w:val="17212B"/>
                <w:sz w:val="15"/>
              </w:rPr>
              <w:t>Explorer mode</w:t>
            </w:r>
          </w:p>
        </w:tc>
        <w:tc>
          <w:tcPr>
            <w:tcW w:type="dxa" w:w="4824"/>
            <w:shd w:fill="FFFFFF"/>
            <w:vAlign w:val="center"/>
            <w:tcMar>
              <w:top w:w="75" w:type="dxa"/>
              <w:start w:w="95" w:type="dxa"/>
              <w:bottom w:w="75" w:type="dxa"/>
              <w:end w:w="95" w:type="dxa"/>
            </w:tcMar>
          </w:tcPr>
          <w:p>
            <w:r/>
            <w:r>
              <w:rPr>
                <w:rFonts w:ascii="Aptos" w:hAnsi="Aptos"/>
                <w:b w:val="0"/>
                <w:color w:val="17212B"/>
                <w:sz w:val="15"/>
              </w:rPr>
              <w:t>Refresh feed/search and open the approved business.</w:t>
            </w:r>
          </w:p>
        </w:tc>
        <w:tc>
          <w:tcPr>
            <w:tcW w:type="dxa" w:w="3384"/>
            <w:shd w:fill="FFFFFF"/>
            <w:vAlign w:val="center"/>
            <w:tcMar>
              <w:top w:w="75" w:type="dxa"/>
              <w:start w:w="95" w:type="dxa"/>
              <w:bottom w:w="75" w:type="dxa"/>
              <w:end w:w="95" w:type="dxa"/>
            </w:tcMar>
          </w:tcPr>
          <w:p>
            <w:r/>
            <w:r>
              <w:rPr>
                <w:rFonts w:ascii="Aptos" w:hAnsi="Aptos"/>
                <w:b w:val="0"/>
                <w:color w:val="17212B"/>
                <w:sz w:val="15"/>
              </w:rPr>
              <w:t>Business is public with correct profile data before first score run.</w:t>
            </w:r>
          </w:p>
        </w:tc>
      </w:tr>
      <w:tr>
        <w:trPr>
          <w:cantSplit/>
        </w:trPr>
        <w:tc>
          <w:tcPr>
            <w:tcW w:type="dxa" w:w="504"/>
            <w:shd w:fill="F3F5F7"/>
            <w:vAlign w:val="center"/>
            <w:tcMar>
              <w:top w:w="75" w:type="dxa"/>
              <w:start w:w="95" w:type="dxa"/>
              <w:bottom w:w="75" w:type="dxa"/>
              <w:end w:w="95" w:type="dxa"/>
            </w:tcMar>
          </w:tcPr>
          <w:p>
            <w:r/>
            <w:r>
              <w:rPr>
                <w:rFonts w:ascii="Aptos" w:hAnsi="Aptos"/>
                <w:b w:val="0"/>
                <w:color w:val="17212B"/>
                <w:sz w:val="15"/>
              </w:rPr>
              <w:t>10</w:t>
            </w:r>
          </w:p>
        </w:tc>
        <w:tc>
          <w:tcPr>
            <w:tcW w:type="dxa" w:w="1224"/>
            <w:shd w:fill="F3F5F7"/>
            <w:vAlign w:val="center"/>
            <w:tcMar>
              <w:top w:w="75" w:type="dxa"/>
              <w:start w:w="95" w:type="dxa"/>
              <w:bottom w:w="75" w:type="dxa"/>
              <w:end w:w="95" w:type="dxa"/>
            </w:tcMar>
          </w:tcPr>
          <w:p>
            <w:r/>
            <w:r>
              <w:rPr>
                <w:rFonts w:ascii="Aptos" w:hAnsi="Aptos"/>
                <w:b w:val="0"/>
                <w:color w:val="17212B"/>
                <w:sz w:val="15"/>
              </w:rPr>
              <w:t>System/team</w:t>
            </w:r>
          </w:p>
        </w:tc>
        <w:tc>
          <w:tcPr>
            <w:tcW w:type="dxa" w:w="4824"/>
            <w:shd w:fill="F3F5F7"/>
            <w:vAlign w:val="center"/>
            <w:tcMar>
              <w:top w:w="75" w:type="dxa"/>
              <w:start w:w="95" w:type="dxa"/>
              <w:bottom w:w="75" w:type="dxa"/>
              <w:end w:w="95" w:type="dxa"/>
            </w:tcMar>
          </w:tcPr>
          <w:p>
            <w:r/>
            <w:r>
              <w:rPr>
                <w:rFonts w:ascii="Aptos" w:hAnsi="Aptos"/>
                <w:b w:val="0"/>
                <w:color w:val="17212B"/>
                <w:sz w:val="15"/>
              </w:rPr>
              <w:t>Run controlled Discovery recomputation and reopen Hidden Gems.</w:t>
            </w:r>
          </w:p>
        </w:tc>
        <w:tc>
          <w:tcPr>
            <w:tcW w:type="dxa" w:w="3384"/>
            <w:shd w:fill="F3F5F7"/>
            <w:vAlign w:val="center"/>
            <w:tcMar>
              <w:top w:w="75" w:type="dxa"/>
              <w:start w:w="95" w:type="dxa"/>
              <w:bottom w:w="75" w:type="dxa"/>
              <w:end w:w="95" w:type="dxa"/>
            </w:tcMar>
          </w:tcPr>
          <w:p>
            <w:r/>
            <w:r>
              <w:rPr>
                <w:rFonts w:ascii="Aptos" w:hAnsi="Aptos"/>
                <w:b w:val="0"/>
                <w:color w:val="17212B"/>
                <w:sz w:val="15"/>
              </w:rPr>
              <w:t>Stored component/final scores and deterministic ranked output.</w:t>
            </w:r>
          </w:p>
        </w:tc>
      </w:tr>
      <w:tr>
        <w:trPr>
          <w:cantSplit/>
        </w:trPr>
        <w:tc>
          <w:tcPr>
            <w:tcW w:type="dxa" w:w="504"/>
            <w:shd w:fill="FFFFFF"/>
            <w:vAlign w:val="center"/>
            <w:tcMar>
              <w:top w:w="75" w:type="dxa"/>
              <w:start w:w="95" w:type="dxa"/>
              <w:bottom w:w="75" w:type="dxa"/>
              <w:end w:w="95" w:type="dxa"/>
            </w:tcMar>
          </w:tcPr>
          <w:p>
            <w:r/>
            <w:r>
              <w:rPr>
                <w:rFonts w:ascii="Aptos" w:hAnsi="Aptos"/>
                <w:b w:val="0"/>
                <w:color w:val="17212B"/>
                <w:sz w:val="15"/>
              </w:rPr>
              <w:t>11</w:t>
            </w:r>
          </w:p>
        </w:tc>
        <w:tc>
          <w:tcPr>
            <w:tcW w:type="dxa" w:w="1224"/>
            <w:shd w:fill="FFFFFF"/>
            <w:vAlign w:val="center"/>
            <w:tcMar>
              <w:top w:w="75" w:type="dxa"/>
              <w:start w:w="95" w:type="dxa"/>
              <w:bottom w:w="75" w:type="dxa"/>
              <w:end w:w="95" w:type="dxa"/>
            </w:tcMar>
          </w:tcPr>
          <w:p>
            <w:r/>
            <w:r>
              <w:rPr>
                <w:rFonts w:ascii="Aptos" w:hAnsi="Aptos"/>
                <w:b w:val="0"/>
                <w:color w:val="17212B"/>
                <w:sz w:val="15"/>
              </w:rPr>
              <w:t>Negative check</w:t>
            </w:r>
          </w:p>
        </w:tc>
        <w:tc>
          <w:tcPr>
            <w:tcW w:type="dxa" w:w="4824"/>
            <w:shd w:fill="FFFFFF"/>
            <w:vAlign w:val="center"/>
            <w:tcMar>
              <w:top w:w="75" w:type="dxa"/>
              <w:start w:w="95" w:type="dxa"/>
              <w:bottom w:w="75" w:type="dxa"/>
              <w:end w:w="95" w:type="dxa"/>
            </w:tcMar>
          </w:tcPr>
          <w:p>
            <w:r/>
            <w:r>
              <w:rPr>
                <w:rFonts w:ascii="Aptos" w:hAnsi="Aptos"/>
                <w:b w:val="0"/>
                <w:color w:val="17212B"/>
                <w:sz w:val="15"/>
              </w:rPr>
              <w:t>Retry approval and attempt unauthorized review/access.</w:t>
            </w:r>
          </w:p>
        </w:tc>
        <w:tc>
          <w:tcPr>
            <w:tcW w:type="dxa" w:w="3384"/>
            <w:shd w:fill="FFFFFF"/>
            <w:vAlign w:val="center"/>
            <w:tcMar>
              <w:top w:w="75" w:type="dxa"/>
              <w:start w:w="95" w:type="dxa"/>
              <w:bottom w:w="75" w:type="dxa"/>
              <w:end w:w="95" w:type="dxa"/>
            </w:tcMar>
          </w:tcPr>
          <w:p>
            <w:r/>
            <w:r>
              <w:rPr>
                <w:rFonts w:ascii="Aptos" w:hAnsi="Aptos"/>
                <w:b w:val="0"/>
                <w:color w:val="17212B"/>
                <w:sz w:val="15"/>
              </w:rPr>
              <w:t>No duplicate Business/review; authorization denial is clear.</w:t>
            </w:r>
          </w:p>
        </w:tc>
      </w:tr>
    </w:tbl>
    <w:p>
      <w:pPr>
        <w:spacing w:after="0"/>
      </w:pPr>
    </w:p>
    <w:p>
      <w:pPr>
        <w:pStyle w:val="Heading2"/>
      </w:pPr>
      <w:r>
        <w:t>Final gate checklist</w:t>
      </w:r>
    </w:p>
    <w:p>
      <w:pPr>
        <w:pStyle w:val="Checklist"/>
      </w:pPr>
      <w:r>
        <w:t>[ ] Demo dataset and configuration are frozen, versioned, and resettable.</w:t>
      </w:r>
    </w:p>
    <w:p>
      <w:pPr>
        <w:pStyle w:val="Checklist"/>
      </w:pPr>
      <w:r>
        <w:t>[ ] The full journey succeeds three consecutive times from a clean state.</w:t>
      </w:r>
    </w:p>
    <w:p>
      <w:pPr>
        <w:pStyle w:val="Checklist"/>
      </w:pPr>
      <w:r>
        <w:t>[ ] Every checklist item has pass/fail evidence and an owner for unresolved defects.</w:t>
      </w:r>
    </w:p>
    <w:p>
      <w:pPr>
        <w:pStyle w:val="Checklist"/>
      </w:pPr>
      <w:r>
        <w:t>[ ] All manuscript differences in Section 6 have an adviser decision or assigned revision.</w:t>
      </w:r>
    </w:p>
    <w:p>
      <w:pPr>
        <w:pStyle w:val="Checklist"/>
      </w:pPr>
      <w:r>
        <w:t>[ ] The team can state which claims P1 proves and which claims remain for P2.</w:t>
      </w:r>
    </w:p>
    <w:p>
      <w:pPr>
        <w:pStyle w:val="Heading2"/>
      </w:pPr>
      <w:r>
        <w:t>Decision record</w:t>
      </w:r>
    </w:p>
    <w:tbl>
      <w:tblPr>
        <w:tblStyle w:val="TableGrid"/>
        <w:tblW w:type="auto" w:w="0"/>
        <w:jc w:val="center"/>
        <w:tblLook w:firstColumn="1" w:firstRow="1" w:lastColumn="0" w:lastRow="0" w:noHBand="0" w:noVBand="1" w:val="04A0"/>
      </w:tblPr>
      <w:tblGrid>
        <w:gridCol w:w="3317"/>
        <w:gridCol w:w="3317"/>
        <w:gridCol w:w="3317"/>
      </w:tblGrid>
      <w:tr>
        <w:trPr>
          <w:tblHeader w:val="true"/>
        </w:trPr>
        <w:tc>
          <w:tcPr>
            <w:tcW w:type="dxa" w:w="3528"/>
            <w:shd w:fill="17324D"/>
            <w:vAlign w:val="center"/>
            <w:tcMar>
              <w:top w:w="75" w:type="dxa"/>
              <w:start w:w="95" w:type="dxa"/>
              <w:bottom w:w="75" w:type="dxa"/>
              <w:end w:w="95" w:type="dxa"/>
            </w:tcMar>
          </w:tcPr>
          <w:p>
            <w:r/>
            <w:r>
              <w:rPr>
                <w:rFonts w:ascii="Aptos" w:hAnsi="Aptos"/>
                <w:b/>
                <w:color w:val="FFFFFF"/>
                <w:sz w:val="16"/>
              </w:rPr>
              <w:t>Topic</w:t>
            </w:r>
          </w:p>
        </w:tc>
        <w:tc>
          <w:tcPr>
            <w:tcW w:type="dxa" w:w="4248"/>
            <w:shd w:fill="17324D"/>
            <w:vAlign w:val="center"/>
            <w:tcMar>
              <w:top w:w="75" w:type="dxa"/>
              <w:start w:w="95" w:type="dxa"/>
              <w:bottom w:w="75" w:type="dxa"/>
              <w:end w:w="95" w:type="dxa"/>
            </w:tcMar>
          </w:tcPr>
          <w:p>
            <w:r/>
            <w:r>
              <w:rPr>
                <w:rFonts w:ascii="Aptos" w:hAnsi="Aptos"/>
                <w:b/>
                <w:color w:val="FFFFFF"/>
                <w:sz w:val="16"/>
              </w:rPr>
              <w:t>Professor decision</w:t>
            </w:r>
          </w:p>
        </w:tc>
        <w:tc>
          <w:tcPr>
            <w:tcW w:type="dxa" w:w="2160"/>
            <w:shd w:fill="17324D"/>
            <w:vAlign w:val="center"/>
            <w:tcMar>
              <w:top w:w="75" w:type="dxa"/>
              <w:start w:w="95" w:type="dxa"/>
              <w:bottom w:w="75" w:type="dxa"/>
              <w:end w:w="95" w:type="dxa"/>
            </w:tcMar>
          </w:tcPr>
          <w:p>
            <w:r/>
            <w:r>
              <w:rPr>
                <w:rFonts w:ascii="Aptos" w:hAnsi="Aptos"/>
                <w:b/>
                <w:color w:val="FFFFFF"/>
                <w:sz w:val="16"/>
              </w:rPr>
              <w:t>Owner / due date</w:t>
            </w:r>
          </w:p>
        </w:tc>
      </w:tr>
      <w:tr>
        <w:trPr>
          <w:cantSplit/>
        </w:trPr>
        <w:tc>
          <w:tcPr>
            <w:tcW w:type="dxa" w:w="3528"/>
            <w:shd w:fill="FFFFFF"/>
            <w:vAlign w:val="center"/>
            <w:tcMar>
              <w:top w:w="75" w:type="dxa"/>
              <w:start w:w="95" w:type="dxa"/>
              <w:bottom w:w="75" w:type="dxa"/>
              <w:end w:w="95" w:type="dxa"/>
            </w:tcMar>
          </w:tcPr>
          <w:p>
            <w:r/>
            <w:r>
              <w:rPr>
                <w:rFonts w:ascii="Aptos" w:hAnsi="Aptos"/>
                <w:b w:val="0"/>
                <w:color w:val="17212B"/>
                <w:sz w:val="16"/>
              </w:rPr>
              <w:t>P1 module/enabler scope</w:t>
            </w:r>
          </w:p>
        </w:tc>
        <w:tc>
          <w:tcPr>
            <w:tcW w:type="dxa" w:w="4248"/>
            <w:shd w:fill="FFFFFF"/>
            <w:vAlign w:val="center"/>
            <w:tcMar>
              <w:top w:w="75" w:type="dxa"/>
              <w:start w:w="95" w:type="dxa"/>
              <w:bottom w:w="75" w:type="dxa"/>
              <w:end w:w="95" w:type="dxa"/>
            </w:tcMar>
          </w:tcPr>
          <w:p>
            <w:r/>
            <w:r>
              <w:rPr>
                <w:rFonts w:ascii="Aptos" w:hAnsi="Aptos"/>
                <w:b w:val="0"/>
                <w:color w:val="17212B"/>
                <w:sz w:val="16"/>
              </w:rPr>
            </w:r>
          </w:p>
        </w:tc>
        <w:tc>
          <w:tcPr>
            <w:tcW w:type="dxa" w:w="2160"/>
            <w:shd w:fill="FFFFFF"/>
            <w:vAlign w:val="center"/>
            <w:tcMar>
              <w:top w:w="75" w:type="dxa"/>
              <w:start w:w="95" w:type="dxa"/>
              <w:bottom w:w="75" w:type="dxa"/>
              <w:end w:w="95" w:type="dxa"/>
            </w:tcMar>
          </w:tcPr>
          <w:p>
            <w:r/>
            <w:r>
              <w:rPr>
                <w:rFonts w:ascii="Aptos" w:hAnsi="Aptos"/>
                <w:b w:val="0"/>
                <w:color w:val="17212B"/>
                <w:sz w:val="16"/>
              </w:rPr>
            </w:r>
          </w:p>
        </w:tc>
      </w:tr>
      <w:tr>
        <w:trPr>
          <w:cantSplit/>
        </w:trPr>
        <w:tc>
          <w:tcPr>
            <w:tcW w:type="dxa" w:w="3528"/>
            <w:shd w:fill="F3F5F7"/>
            <w:vAlign w:val="center"/>
            <w:tcMar>
              <w:top w:w="75" w:type="dxa"/>
              <w:start w:w="95" w:type="dxa"/>
              <w:bottom w:w="75" w:type="dxa"/>
              <w:end w:w="95" w:type="dxa"/>
            </w:tcMar>
          </w:tcPr>
          <w:p>
            <w:r/>
            <w:r>
              <w:rPr>
                <w:rFonts w:ascii="Aptos" w:hAnsi="Aptos"/>
                <w:b w:val="0"/>
                <w:color w:val="17212B"/>
                <w:sz w:val="16"/>
              </w:rPr>
              <w:t>IAM role/mode definition</w:t>
            </w:r>
          </w:p>
        </w:tc>
        <w:tc>
          <w:tcPr>
            <w:tcW w:type="dxa" w:w="4248"/>
            <w:shd w:fill="F3F5F7"/>
            <w:vAlign w:val="center"/>
            <w:tcMar>
              <w:top w:w="75" w:type="dxa"/>
              <w:start w:w="95" w:type="dxa"/>
              <w:bottom w:w="75" w:type="dxa"/>
              <w:end w:w="95" w:type="dxa"/>
            </w:tcMar>
          </w:tcPr>
          <w:p>
            <w:r/>
            <w:r>
              <w:rPr>
                <w:rFonts w:ascii="Aptos" w:hAnsi="Aptos"/>
                <w:b w:val="0"/>
                <w:color w:val="17212B"/>
                <w:sz w:val="16"/>
              </w:rPr>
            </w:r>
          </w:p>
        </w:tc>
        <w:tc>
          <w:tcPr>
            <w:tcW w:type="dxa" w:w="2160"/>
            <w:shd w:fill="F3F5F7"/>
            <w:vAlign w:val="center"/>
            <w:tcMar>
              <w:top w:w="75" w:type="dxa"/>
              <w:start w:w="95" w:type="dxa"/>
              <w:bottom w:w="75" w:type="dxa"/>
              <w:end w:w="95" w:type="dxa"/>
            </w:tcMar>
          </w:tcPr>
          <w:p>
            <w:r/>
            <w:r>
              <w:rPr>
                <w:rFonts w:ascii="Aptos" w:hAnsi="Aptos"/>
                <w:b w:val="0"/>
                <w:color w:val="17212B"/>
                <w:sz w:val="16"/>
              </w:rPr>
            </w:r>
          </w:p>
        </w:tc>
      </w:tr>
      <w:tr>
        <w:trPr>
          <w:cantSplit/>
        </w:trPr>
        <w:tc>
          <w:tcPr>
            <w:tcW w:type="dxa" w:w="3528"/>
            <w:shd w:fill="FFFFFF"/>
            <w:vAlign w:val="center"/>
            <w:tcMar>
              <w:top w:w="75" w:type="dxa"/>
              <w:start w:w="95" w:type="dxa"/>
              <w:bottom w:w="75" w:type="dxa"/>
              <w:end w:w="95" w:type="dxa"/>
            </w:tcMar>
          </w:tcPr>
          <w:p>
            <w:r/>
            <w:r>
              <w:rPr>
                <w:rFonts w:ascii="Aptos" w:hAnsi="Aptos"/>
                <w:b w:val="0"/>
                <w:color w:val="17212B"/>
                <w:sz w:val="16"/>
              </w:rPr>
              <w:t>SAG admission rubric/documents</w:t>
            </w:r>
          </w:p>
        </w:tc>
        <w:tc>
          <w:tcPr>
            <w:tcW w:type="dxa" w:w="4248"/>
            <w:shd w:fill="FFFFFF"/>
            <w:vAlign w:val="center"/>
            <w:tcMar>
              <w:top w:w="75" w:type="dxa"/>
              <w:start w:w="95" w:type="dxa"/>
              <w:bottom w:w="75" w:type="dxa"/>
              <w:end w:w="95" w:type="dxa"/>
            </w:tcMar>
          </w:tcPr>
          <w:p>
            <w:r/>
            <w:r>
              <w:rPr>
                <w:rFonts w:ascii="Aptos" w:hAnsi="Aptos"/>
                <w:b w:val="0"/>
                <w:color w:val="17212B"/>
                <w:sz w:val="16"/>
              </w:rPr>
            </w:r>
          </w:p>
        </w:tc>
        <w:tc>
          <w:tcPr>
            <w:tcW w:type="dxa" w:w="2160"/>
            <w:shd w:fill="FFFFFF"/>
            <w:vAlign w:val="center"/>
            <w:tcMar>
              <w:top w:w="75" w:type="dxa"/>
              <w:start w:w="95" w:type="dxa"/>
              <w:bottom w:w="75" w:type="dxa"/>
              <w:end w:w="95" w:type="dxa"/>
            </w:tcMar>
          </w:tcPr>
          <w:p>
            <w:r/>
            <w:r>
              <w:rPr>
                <w:rFonts w:ascii="Aptos" w:hAnsi="Aptos"/>
                <w:b w:val="0"/>
                <w:color w:val="17212B"/>
                <w:sz w:val="16"/>
              </w:rPr>
            </w:r>
          </w:p>
        </w:tc>
      </w:tr>
      <w:tr>
        <w:trPr>
          <w:cantSplit/>
        </w:trPr>
        <w:tc>
          <w:tcPr>
            <w:tcW w:type="dxa" w:w="3528"/>
            <w:shd w:fill="F3F5F7"/>
            <w:vAlign w:val="center"/>
            <w:tcMar>
              <w:top w:w="75" w:type="dxa"/>
              <w:start w:w="95" w:type="dxa"/>
              <w:bottom w:w="75" w:type="dxa"/>
              <w:end w:w="95" w:type="dxa"/>
            </w:tcMar>
          </w:tcPr>
          <w:p>
            <w:r/>
            <w:r>
              <w:rPr>
                <w:rFonts w:ascii="Aptos" w:hAnsi="Aptos"/>
                <w:b w:val="0"/>
                <w:color w:val="17212B"/>
                <w:sz w:val="16"/>
              </w:rPr>
              <w:t>Discovery formula and publication policy</w:t>
            </w:r>
          </w:p>
        </w:tc>
        <w:tc>
          <w:tcPr>
            <w:tcW w:type="dxa" w:w="4248"/>
            <w:shd w:fill="F3F5F7"/>
            <w:vAlign w:val="center"/>
            <w:tcMar>
              <w:top w:w="75" w:type="dxa"/>
              <w:start w:w="95" w:type="dxa"/>
              <w:bottom w:w="75" w:type="dxa"/>
              <w:end w:w="95" w:type="dxa"/>
            </w:tcMar>
          </w:tcPr>
          <w:p>
            <w:r/>
            <w:r>
              <w:rPr>
                <w:rFonts w:ascii="Aptos" w:hAnsi="Aptos"/>
                <w:b w:val="0"/>
                <w:color w:val="17212B"/>
                <w:sz w:val="16"/>
              </w:rPr>
            </w:r>
          </w:p>
        </w:tc>
        <w:tc>
          <w:tcPr>
            <w:tcW w:type="dxa" w:w="2160"/>
            <w:shd w:fill="F3F5F7"/>
            <w:vAlign w:val="center"/>
            <w:tcMar>
              <w:top w:w="75" w:type="dxa"/>
              <w:start w:w="95" w:type="dxa"/>
              <w:bottom w:w="75" w:type="dxa"/>
              <w:end w:w="95" w:type="dxa"/>
            </w:tcMar>
          </w:tcPr>
          <w:p>
            <w:r/>
            <w:r>
              <w:rPr>
                <w:rFonts w:ascii="Aptos" w:hAnsi="Aptos"/>
                <w:b w:val="0"/>
                <w:color w:val="17212B"/>
                <w:sz w:val="16"/>
              </w:rPr>
            </w:r>
          </w:p>
        </w:tc>
      </w:tr>
      <w:tr>
        <w:trPr>
          <w:cantSplit/>
        </w:trPr>
        <w:tc>
          <w:tcPr>
            <w:tcW w:type="dxa" w:w="3528"/>
            <w:shd w:fill="FFFFFF"/>
            <w:vAlign w:val="center"/>
            <w:tcMar>
              <w:top w:w="75" w:type="dxa"/>
              <w:start w:w="95" w:type="dxa"/>
              <w:bottom w:w="75" w:type="dxa"/>
              <w:end w:w="95" w:type="dxa"/>
            </w:tcMar>
          </w:tcPr>
          <w:p>
            <w:r/>
            <w:r>
              <w:rPr>
                <w:rFonts w:ascii="Aptos" w:hAnsi="Aptos"/>
                <w:b w:val="0"/>
                <w:color w:val="17212B"/>
                <w:sz w:val="16"/>
              </w:rPr>
              <w:t>Deferred/removed Discovery claims</w:t>
            </w:r>
          </w:p>
        </w:tc>
        <w:tc>
          <w:tcPr>
            <w:tcW w:type="dxa" w:w="4248"/>
            <w:shd w:fill="FFFFFF"/>
            <w:vAlign w:val="center"/>
            <w:tcMar>
              <w:top w:w="75" w:type="dxa"/>
              <w:start w:w="95" w:type="dxa"/>
              <w:bottom w:w="75" w:type="dxa"/>
              <w:end w:w="95" w:type="dxa"/>
            </w:tcMar>
          </w:tcPr>
          <w:p>
            <w:r/>
            <w:r>
              <w:rPr>
                <w:rFonts w:ascii="Aptos" w:hAnsi="Aptos"/>
                <w:b w:val="0"/>
                <w:color w:val="17212B"/>
                <w:sz w:val="16"/>
              </w:rPr>
            </w:r>
          </w:p>
        </w:tc>
        <w:tc>
          <w:tcPr>
            <w:tcW w:type="dxa" w:w="2160"/>
            <w:shd w:fill="FFFFFF"/>
            <w:vAlign w:val="center"/>
            <w:tcMar>
              <w:top w:w="75" w:type="dxa"/>
              <w:start w:w="95" w:type="dxa"/>
              <w:bottom w:w="75" w:type="dxa"/>
              <w:end w:w="95" w:type="dxa"/>
            </w:tcMar>
          </w:tcPr>
          <w:p>
            <w:r/>
            <w:r>
              <w:rPr>
                <w:rFonts w:ascii="Aptos" w:hAnsi="Aptos"/>
                <w:b w:val="0"/>
                <w:color w:val="17212B"/>
                <w:sz w:val="16"/>
              </w:rPr>
            </w:r>
          </w:p>
        </w:tc>
      </w:tr>
      <w:tr>
        <w:trPr>
          <w:cantSplit/>
        </w:trPr>
        <w:tc>
          <w:tcPr>
            <w:tcW w:type="dxa" w:w="3528"/>
            <w:shd w:fill="F3F5F7"/>
            <w:vAlign w:val="center"/>
            <w:tcMar>
              <w:top w:w="75" w:type="dxa"/>
              <w:start w:w="95" w:type="dxa"/>
              <w:bottom w:w="75" w:type="dxa"/>
              <w:end w:w="95" w:type="dxa"/>
            </w:tcMar>
          </w:tcPr>
          <w:p>
            <w:r/>
            <w:r>
              <w:rPr>
                <w:rFonts w:ascii="Aptos" w:hAnsi="Aptos"/>
                <w:b w:val="0"/>
                <w:color w:val="17212B"/>
                <w:sz w:val="16"/>
              </w:rPr>
              <w:t>P1 dataset and acceptance threshold</w:t>
            </w:r>
          </w:p>
        </w:tc>
        <w:tc>
          <w:tcPr>
            <w:tcW w:type="dxa" w:w="4248"/>
            <w:shd w:fill="F3F5F7"/>
            <w:vAlign w:val="center"/>
            <w:tcMar>
              <w:top w:w="75" w:type="dxa"/>
              <w:start w:w="95" w:type="dxa"/>
              <w:bottom w:w="75" w:type="dxa"/>
              <w:end w:w="95" w:type="dxa"/>
            </w:tcMar>
          </w:tcPr>
          <w:p>
            <w:r/>
            <w:r>
              <w:rPr>
                <w:rFonts w:ascii="Aptos" w:hAnsi="Aptos"/>
                <w:b w:val="0"/>
                <w:color w:val="17212B"/>
                <w:sz w:val="16"/>
              </w:rPr>
            </w:r>
          </w:p>
        </w:tc>
        <w:tc>
          <w:tcPr>
            <w:tcW w:type="dxa" w:w="2160"/>
            <w:shd w:fill="F3F5F7"/>
            <w:vAlign w:val="center"/>
            <w:tcMar>
              <w:top w:w="75" w:type="dxa"/>
              <w:start w:w="95" w:type="dxa"/>
              <w:bottom w:w="75" w:type="dxa"/>
              <w:end w:w="95" w:type="dxa"/>
            </w:tcMar>
          </w:tcPr>
          <w:p>
            <w:r/>
            <w:r>
              <w:rPr>
                <w:rFonts w:ascii="Aptos" w:hAnsi="Aptos"/>
                <w:b w:val="0"/>
                <w:color w:val="17212B"/>
                <w:sz w:val="16"/>
              </w:rPr>
            </w:r>
          </w:p>
        </w:tc>
      </w:tr>
    </w:tbl>
    <w:p>
      <w:pPr>
        <w:spacing w:after="0"/>
      </w:pPr>
    </w:p>
    <w:sectPr w:rsidR="00FC693F" w:rsidRPr="0006063C" w:rsidSect="00034616">
      <w:footerReference w:type="default" r:id="rId9"/>
      <w:pgSz w:w="11909" w:h="16834"/>
      <w:pgMar w:top="893" w:right="979" w:bottom="893" w:left="979"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7085"/>
        <w:sz w:val="16"/>
      </w:rPr>
      <w:t xml:space="preserve">SugboGo Prototype 1 Brief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7" w:lineRule="auto"/>
    </w:pPr>
    <w:rPr>
      <w:rFonts w:ascii="Aptos" w:hAnsi="Aptos"/>
      <w:color w:val="1721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087F8C"/>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7" w:lineRule="auto"/>
    </w:pPr>
    <w:rPr>
      <w:rFonts w:ascii="Aptos" w:hAnsi="Aptos"/>
      <w:color w:val="17212B"/>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ulletCompact">
    <w:name w:val="Bullet Compact"/>
    <w:pPr>
      <w:spacing w:after="60" w:line="250" w:lineRule="auto"/>
      <w:ind w:left="259" w:hanging="259"/>
    </w:pPr>
    <w:rPr>
      <w:rFonts w:ascii="Aptos" w:hAnsi="Aptos"/>
      <w:sz w:val="18"/>
    </w:rPr>
  </w:style>
  <w:style w:type="paragraph" w:customStyle="1" w:styleId="Checklist">
    <w:name w:val="Checklist"/>
    <w:pPr>
      <w:spacing w:after="60" w:line="250" w:lineRule="auto"/>
      <w:ind w:left="259" w:hanging="259"/>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SugboGo Prototype 1 Demo and Consultation Brief</dc:title>
  <dc:subject>IAM, SAG, Dynamic Discovery baseline, AOEA enabler, demo checklist, technologies, changes, and consultation questions</dc:subject>
  <dc:creator>SugboGo Capstone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