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E2A4A"/>
          <w:sz w:val="40"/>
        </w:rPr>
        <w:t>Solicitud de autorización</w:t>
      </w:r>
    </w:p>
    <w:p>
      <w:pPr>
        <w:spacing w:after="80"/>
      </w:pPr>
      <w:r>
        <w:rPr>
          <w:rFonts w:ascii="Calibri" w:hAnsi="Calibri"/>
          <w:color w:val="2F6FED"/>
          <w:sz w:val="24"/>
        </w:rPr>
        <w:t>Corrección de la metodología de calificación — Guía III (Factores de Riesgo Psicosocial)</w:t>
        <w:br/>
        <w:t>Sistema NOM-035 · Dashboard de Resultados</w:t>
      </w:r>
    </w:p>
    <w:p>
      <w:pPr>
        <w:spacing w:after="40"/>
      </w:pPr>
      <w:r>
        <w:rPr>
          <w:i/>
          <w:color w:val="444444"/>
          <w:sz w:val="19"/>
        </w:rPr>
        <w:t>Fecha: 09/07/2026    ·    Para: Dirección    ·    De: Equipo de plataforma NOM-035</w:t>
      </w:r>
    </w:p>
    <w:p>
      <w:pPr>
        <w:spacing w:after="40"/>
      </w:pPr>
    </w:p>
    <w:p>
      <w:pPr>
        <w:spacing w:after="80"/>
        <w:pBdr>
          <w:bottom w:val="single" w:sz="8" w:color="1E2A4A"/>
        </w:pBdr>
      </w:pPr>
    </w:p>
    <w:p>
      <w:pPr>
        <w:spacing w:before="360" w:after="160"/>
      </w:pPr>
      <w:r>
        <w:rPr>
          <w:rFonts w:ascii="Calibri" w:hAnsi="Calibri"/>
          <w:b/>
          <w:color w:val="1E2A4A"/>
          <w:sz w:val="30"/>
        </w:rPr>
        <w:t>1. Resumen ejecutivo</w:t>
      </w:r>
    </w:p>
    <w:p>
      <w:pPr>
        <w:spacing w:after="120"/>
      </w:pPr>
      <w:r>
        <w:rPr>
          <w:rFonts w:ascii="Calibri" w:hAnsi="Calibri"/>
          <w:b w:val="0"/>
          <w:i w:val="0"/>
          <w:color w:val="444444"/>
          <w:sz w:val="20"/>
        </w:rPr>
        <w:t>El dashboard web de Resultados (sección /resultados, usado por administradores de planta y dirección para consultar el diagnóstico NOM-035 en tiempo real) califica la Guía III con una metodología que NO coincide con la Guía de Referencia III oficial (NOM-035-STPS-2018) y que tampoco coincide con la metodología ya corregida y validada con el cliente que usamos para generar los informes diagnósticos DOCX entregados formalmente a 7 plantas.</w:t>
      </w:r>
    </w:p>
    <w:p>
      <w:pPr>
        <w:spacing w:after="120"/>
      </w:pPr>
      <w:r>
        <w:rPr>
          <w:rFonts w:ascii="Calibri" w:hAnsi="Calibri"/>
          <w:b w:val="0"/>
          <w:i w:val="0"/>
          <w:color w:val="444444"/>
          <w:sz w:val="20"/>
        </w:rPr>
        <w:t>Al comparar contra la base de datos real (1,054 cuestionarios de Guía III completados en producción), encontramos que el 68.8% de los resultados individuales cambiaría de categoría de riesgo si se aplica la metodología oficial — y siempre en la misma dirección: el dashboard actual sobreestima el riesgo psicosocial. Solicitamos autorización para corregir el motor de cálculo del backend y homologarlo con la metodología oficial ya en uso en los informes entregados.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A4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Antes (estado actual del dashboard)</w:t>
            </w:r>
          </w:p>
        </w:tc>
        <w:tc>
          <w:tcPr>
            <w:tcW w:type="dxa" w:w="4873"/>
            <w:shd w:val="clear" w:color="auto" w:fill="1E2A4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Después (metodología propuesta)</w:t>
            </w:r>
          </w:p>
        </w:tc>
      </w:tr>
      <w:tr>
        <w:tc>
          <w:tcPr>
            <w:tcW w:type="dxa" w:w="4873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Rangos de calificación aproximados, definidos de forma interna en 2026, sin validar contra la tabla oficial.</w:t>
            </w:r>
          </w:p>
        </w:tc>
        <w:tc>
          <w:tcPr>
            <w:tcW w:type="dxa" w:w="4873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Rangos oficiales de la Guía de Referencia III (Cfinal, Ccat, Cdom), ya validados con el cliente el 07/07/2026.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14 "dominios" tal como están agrupados en el cuestionario de la base de datos (D1–D14).</w:t>
            </w:r>
          </w:p>
        </w:tc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5 categorías y 10 dominios oficiales de la Guía III, con la re-agrupación correcta de preguntas (ver sección 3).</w:t>
            </w:r>
          </w:p>
        </w:tc>
      </w:tr>
      <w:tr>
        <w:tc>
          <w:tcPr>
            <w:tcW w:type="dxa" w:w="4873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3 preguntas con la dirección de calificación (inversa/directa) invertida respecto a la tabla oficial.</w:t>
            </w:r>
          </w:p>
        </w:tc>
        <w:tc>
          <w:tcPr>
            <w:tcW w:type="dxa" w:w="4873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Dirección de calificación corregida conforme a la Tabla 5 de la Guía III, ítem por ítem.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B4232A"/>
                <w:sz w:val="19"/>
              </w:rPr>
              <w:t>Resultado: sobreestima el riesgo en un porcentaje relevante de los cuestionarios.</w:t>
            </w:r>
          </w:p>
        </w:tc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color w:val="1F7A3D"/>
                <w:sz w:val="19"/>
              </w:rPr>
              <w:t>Resultado: consistente con los informes DOCX que ya reciben las plantas.</w:t>
            </w:r>
          </w:p>
        </w:tc>
      </w:tr>
    </w:tbl>
    <w:p>
      <w:pPr>
        <w:spacing w:before="360" w:after="160"/>
      </w:pPr>
      <w:r>
        <w:rPr>
          <w:rFonts w:ascii="Calibri" w:hAnsi="Calibri"/>
          <w:b/>
          <w:color w:val="1E2A4A"/>
          <w:sz w:val="30"/>
        </w:rPr>
        <w:t>2. Cómo califica hoy el dashboard (estado actual)</w:t>
      </w:r>
    </w:p>
    <w:p>
      <w:pPr>
        <w:spacing w:after="120"/>
      </w:pPr>
      <w:r>
        <w:rPr>
          <w:rFonts w:ascii="Calibri" w:hAnsi="Calibri"/>
          <w:b w:val="0"/>
          <w:i w:val="0"/>
          <w:color w:val="444444"/>
          <w:sz w:val="20"/>
        </w:rPr>
        <w:t>Archivo: backend/m06_results/scoring.py. Aplica a la calificación global de cada cuestionario de Guía III (campo "Nivel de riesgo" / gráfica "Distribución de riesgo"):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2A4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Puntaje total (suma de ítems)</w:t>
            </w:r>
          </w:p>
        </w:tc>
        <w:tc>
          <w:tcPr>
            <w:tcW w:type="dxa" w:w="4873"/>
            <w:shd w:val="clear" w:color="auto" w:fill="1E2A4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Categoría asignada hoy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0 – 19</w:t>
            </w:r>
          </w:p>
        </w:tc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Nulo</w:t>
            </w:r>
          </w:p>
        </w:tc>
      </w:tr>
      <w:tr>
        <w:tc>
          <w:tcPr>
            <w:tcW w:type="dxa" w:w="4873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20 – 44</w:t>
            </w:r>
          </w:p>
        </w:tc>
        <w:tc>
          <w:tcPr>
            <w:tcW w:type="dxa" w:w="4873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Bajo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45 – 79</w:t>
            </w:r>
          </w:p>
        </w:tc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Medio</w:t>
            </w:r>
          </w:p>
        </w:tc>
      </w:tr>
      <w:tr>
        <w:tc>
          <w:tcPr>
            <w:tcW w:type="dxa" w:w="4873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80 – 140</w:t>
            </w:r>
          </w:p>
        </w:tc>
        <w:tc>
          <w:tcPr>
            <w:tcW w:type="dxa" w:w="4873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Alto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141 en adelante</w:t>
            </w:r>
          </w:p>
        </w:tc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Muy alto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Además, la calificación por dominio usa los 14 bloques del cuestionario tal cual están en la base de datos (D1 a D14), cada uno con su propio rango de corte definido de forma interna, sin corresponder a los 10 dominios oficiales de la Guía III ni a las 5 categorías en las que la norma los agrupa.</w:t>
      </w:r>
    </w:p>
    <w:p>
      <w:pPr>
        <w:spacing w:after="80"/>
      </w:pPr>
      <w:r>
        <w:rPr>
          <w:rFonts w:ascii="Calibri" w:hAnsi="Calibri"/>
          <w:b w:val="0"/>
          <w:i w:val="0"/>
          <w:color w:val="444444"/>
          <w:sz w:val="20"/>
        </w:rPr>
        <w:t>También se detectó que 3 preguntas de Guía III tienen marcada la dirección de calificación (si la respuesta se invierte o no) al revés de lo que indica la Guía III: las preguntas 1 y 4 del dominio "Condiciones en el ambiente de trabajo" deberían invertirse y no se invierten, y la pregunta 1 del dominio "Cambios en el trabajo" se invierte cuando no debería. Esto afecta directamente el puntaje de esos trabajadores, no solo la categoría final.</w:t>
      </w:r>
    </w:p>
    <w:p>
      <w:pPr>
        <w:spacing w:before="360" w:after="160"/>
      </w:pPr>
      <w:r>
        <w:rPr>
          <w:rFonts w:ascii="Calibri" w:hAnsi="Calibri"/>
          <w:b/>
          <w:color w:val="1E2A4A"/>
          <w:sz w:val="30"/>
        </w:rPr>
        <w:t>3. Cómo quedaría con la metodología oficial (propuesta)</w:t>
      </w:r>
    </w:p>
    <w:p>
      <w:pPr>
        <w:spacing w:after="120"/>
      </w:pPr>
      <w:r>
        <w:rPr>
          <w:rFonts w:ascii="Calibri" w:hAnsi="Calibri"/>
          <w:b w:val="0"/>
          <w:i w:val="0"/>
          <w:color w:val="444444"/>
          <w:sz w:val="20"/>
        </w:rPr>
        <w:t>Esta es exactamente la metodología que ya usa el generador de informes DOCX (generar_informe.py) para los diagnósticos entregados a San Luis, Silao, Saltillo, Zapotitlán, Toluca, Huamantla y Querétaro, y que fue revisada y confirmada con el cliente el 07/07/2026.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F6FE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Puntaje total (Cfinal)</w:t>
            </w:r>
          </w:p>
        </w:tc>
        <w:tc>
          <w:tcPr>
            <w:tcW w:type="dxa" w:w="4873"/>
            <w:shd w:val="clear" w:color="auto" w:fill="2F6FE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Categoría oficial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0 – 49</w:t>
            </w:r>
          </w:p>
        </w:tc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Nulo</w:t>
            </w:r>
          </w:p>
        </w:tc>
      </w:tr>
      <w:tr>
        <w:tc>
          <w:tcPr>
            <w:tcW w:type="dxa" w:w="4873"/>
            <w:shd w:val="clear" w:color="auto" w:fill="E9F5EC"/>
          </w:tcPr>
          <w:p>
            <w:r/>
            <w:r>
              <w:rPr>
                <w:rFonts w:ascii="Calibri" w:hAnsi="Calibri"/>
                <w:b w:val="0"/>
                <w:sz w:val="19"/>
              </w:rPr>
              <w:t>50 – 74</w:t>
            </w:r>
          </w:p>
        </w:tc>
        <w:tc>
          <w:tcPr>
            <w:tcW w:type="dxa" w:w="4873"/>
            <w:shd w:val="clear" w:color="auto" w:fill="E9F5EC"/>
          </w:tcPr>
          <w:p>
            <w:r/>
            <w:r>
              <w:rPr>
                <w:rFonts w:ascii="Calibri" w:hAnsi="Calibri"/>
                <w:b w:val="0"/>
                <w:sz w:val="19"/>
              </w:rPr>
              <w:t>Bajo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75 – 98</w:t>
            </w:r>
          </w:p>
        </w:tc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Medio</w:t>
            </w:r>
          </w:p>
        </w:tc>
      </w:tr>
      <w:tr>
        <w:tc>
          <w:tcPr>
            <w:tcW w:type="dxa" w:w="4873"/>
            <w:shd w:val="clear" w:color="auto" w:fill="E9F5EC"/>
          </w:tcPr>
          <w:p>
            <w:r/>
            <w:r>
              <w:rPr>
                <w:rFonts w:ascii="Calibri" w:hAnsi="Calibri"/>
                <w:b w:val="0"/>
                <w:sz w:val="19"/>
              </w:rPr>
              <w:t>99 – 139</w:t>
            </w:r>
          </w:p>
        </w:tc>
        <w:tc>
          <w:tcPr>
            <w:tcW w:type="dxa" w:w="4873"/>
            <w:shd w:val="clear" w:color="auto" w:fill="E9F5EC"/>
          </w:tcPr>
          <w:p>
            <w:r/>
            <w:r>
              <w:rPr>
                <w:rFonts w:ascii="Calibri" w:hAnsi="Calibri"/>
                <w:b w:val="0"/>
                <w:sz w:val="19"/>
              </w:rPr>
              <w:t>Alto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140 en adelante</w:t>
            </w:r>
          </w:p>
        </w:tc>
        <w:tc>
          <w:tcPr>
            <w:tcW w:type="dxa" w:w="487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Muy alto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444444"/>
          <w:sz w:val="20"/>
        </w:rPr>
        <w:t>Los dominios del cuestionario se reagrupan conforme a la Tabla 6 de la Guía III en 5 categorías y 10 dominios oficiales (por ejemplo, el bloque D5 del cuestionario se separa en "Jornada de trabajo" e "Interferencia en la relación trabajo-familia"; D13 se suma a "Carga de trabajo" y D14 a "Relaciones en el trabajo"), cada uno con su propio rango de corte oficial. También se corrige la dirección de calificación de las 3 preguntas identificadas en la sección 2.</w:t>
      </w:r>
    </w:p>
    <w:p>
      <w:pPr>
        <w:spacing w:before="360" w:after="160"/>
      </w:pPr>
      <w:r>
        <w:rPr>
          <w:rFonts w:ascii="Calibri" w:hAnsi="Calibri"/>
          <w:b/>
          <w:color w:val="1E2A4A"/>
          <w:sz w:val="30"/>
        </w:rPr>
        <w:t>4. Evidencia: impacto medido en datos reales</w:t>
      </w:r>
    </w:p>
    <w:p>
      <w:pPr>
        <w:spacing w:after="120"/>
      </w:pPr>
      <w:r>
        <w:rPr>
          <w:rFonts w:ascii="Calibri" w:hAnsi="Calibri"/>
          <w:b w:val="0"/>
          <w:i w:val="0"/>
          <w:color w:val="444444"/>
          <w:sz w:val="20"/>
        </w:rPr>
        <w:t>Se compararon ambas metodologías contra los 1,054 resultados de Guía III ya calculados en la base de datos de producción (excluyendo el tenant de prueba):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A4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249"/>
            <w:shd w:val="clear" w:color="auto" w:fill="1E2A4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 metodología actual</w:t>
            </w:r>
          </w:p>
        </w:tc>
        <w:tc>
          <w:tcPr>
            <w:tcW w:type="dxa" w:w="3249"/>
            <w:shd w:val="clear" w:color="auto" w:fill="1E2A4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 metodología oficial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/>
            <w:r>
              <w:rPr>
                <w:rFonts w:ascii="Calibri" w:hAnsi="Calibri"/>
                <w:b/>
                <w:sz w:val="19"/>
              </w:rPr>
              <w:t>Nulo</w:t>
            </w:r>
          </w:p>
        </w:tc>
        <w:tc>
          <w:tcPr>
            <w:tcW w:type="dxa" w:w="324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4.1%  (43)</w:t>
            </w:r>
          </w:p>
        </w:tc>
        <w:tc>
          <w:tcPr>
            <w:tcW w:type="dxa" w:w="324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30.6%  (323)</w:t>
            </w:r>
          </w:p>
        </w:tc>
      </w:tr>
      <w:tr>
        <w:tc>
          <w:tcPr>
            <w:tcW w:type="dxa" w:w="3249"/>
            <w:shd w:val="clear" w:color="auto" w:fill="F2F3F7"/>
          </w:tcPr>
          <w:p>
            <w:r/>
            <w:r>
              <w:rPr>
                <w:rFonts w:ascii="Calibri" w:hAnsi="Calibri"/>
                <w:b/>
                <w:sz w:val="19"/>
              </w:rPr>
              <w:t>Bajo</w:t>
            </w:r>
          </w:p>
        </w:tc>
        <w:tc>
          <w:tcPr>
            <w:tcW w:type="dxa" w:w="3249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21.9%  (231)</w:t>
            </w:r>
          </w:p>
        </w:tc>
        <w:tc>
          <w:tcPr>
            <w:tcW w:type="dxa" w:w="3249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26.4%  (278)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/>
            <w:r>
              <w:rPr>
                <w:rFonts w:ascii="Calibri" w:hAnsi="Calibri"/>
                <w:b/>
                <w:sz w:val="19"/>
              </w:rPr>
              <w:t>Medio</w:t>
            </w:r>
          </w:p>
        </w:tc>
        <w:tc>
          <w:tcPr>
            <w:tcW w:type="dxa" w:w="324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37.8%  (398)</w:t>
            </w:r>
          </w:p>
        </w:tc>
        <w:tc>
          <w:tcPr>
            <w:tcW w:type="dxa" w:w="324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22.5%  (237)</w:t>
            </w:r>
          </w:p>
        </w:tc>
      </w:tr>
      <w:tr>
        <w:tc>
          <w:tcPr>
            <w:tcW w:type="dxa" w:w="3249"/>
            <w:shd w:val="clear" w:color="auto" w:fill="F2F3F7"/>
          </w:tcPr>
          <w:p>
            <w:r/>
            <w:r>
              <w:rPr>
                <w:rFonts w:ascii="Calibri" w:hAnsi="Calibri"/>
                <w:b/>
                <w:sz w:val="19"/>
              </w:rPr>
              <w:t>Alto</w:t>
            </w:r>
          </w:p>
        </w:tc>
        <w:tc>
          <w:tcPr>
            <w:tcW w:type="dxa" w:w="3249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34.0%  (358)</w:t>
            </w:r>
          </w:p>
        </w:tc>
        <w:tc>
          <w:tcPr>
            <w:tcW w:type="dxa" w:w="3249"/>
            <w:shd w:val="clear" w:color="auto" w:fill="F2F3F7"/>
          </w:tcPr>
          <w:p>
            <w:r/>
            <w:r>
              <w:rPr>
                <w:rFonts w:ascii="Calibri" w:hAnsi="Calibri"/>
                <w:b w:val="0"/>
                <w:sz w:val="19"/>
              </w:rPr>
              <w:t>18.1%  (191)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/>
            <w:r>
              <w:rPr>
                <w:rFonts w:ascii="Calibri" w:hAnsi="Calibri"/>
                <w:b/>
                <w:sz w:val="19"/>
              </w:rPr>
              <w:t>Muy alto</w:t>
            </w:r>
          </w:p>
        </w:tc>
        <w:tc>
          <w:tcPr>
            <w:tcW w:type="dxa" w:w="324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2.3%  (24)</w:t>
            </w:r>
          </w:p>
        </w:tc>
        <w:tc>
          <w:tcPr>
            <w:tcW w:type="dxa" w:w="3249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sz w:val="19"/>
              </w:rPr>
              <w:t>2.4%  (25)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color w:val="444444"/>
          <w:sz w:val="20"/>
        </w:rPr>
      </w:r>
    </w:p>
    <w:p>
      <w:pPr>
        <w:spacing w:after="120"/>
      </w:pPr>
      <w:r>
        <w:rPr>
          <w:rFonts w:ascii="Calibri" w:hAnsi="Calibri"/>
          <w:b/>
          <w:i w:val="0"/>
          <w:color w:val="B4232A"/>
          <w:sz w:val="20"/>
        </w:rPr>
        <w:t>68.8% de los resultados (725 de 1,054) cambia de categoría al aplicar la metodología oficial — siempre hacia una categoría de menor riesgo (Medio→Bajo en 278 casos, Bajo→Nulo en 231, Alto→Medio en 166, Medio→Nulo en 49). Es decir, el dashboard actual no solo se equivoca: se equivoca sistemáticamente sobreestimando el riesgo psicosocial.</w:t>
      </w:r>
    </w:p>
    <w:p>
      <w:pPr>
        <w:spacing w:after="200"/>
      </w:pPr>
      <w:r>
        <w:rPr>
          <w:rFonts w:ascii="Calibri" w:hAnsi="Calibri"/>
          <w:b w:val="0"/>
          <w:i w:val="0"/>
          <w:color w:val="444444"/>
          <w:sz w:val="20"/>
        </w:rPr>
        <w:t>Las plantas cuyos resultados en el dashboard cambiarían más son Silao (239 de sus resultados), Saltillo (178) y San Luis (178).</w:t>
      </w:r>
    </w:p>
    <w:p>
      <w:pPr>
        <w:spacing w:before="360" w:after="160"/>
      </w:pPr>
      <w:r>
        <w:rPr>
          <w:rFonts w:ascii="Calibri" w:hAnsi="Calibri"/>
          <w:b/>
          <w:color w:val="1E2A4A"/>
          <w:sz w:val="30"/>
        </w:rPr>
        <w:t>5. Por qué se solicita el cambio</w:t>
      </w:r>
    </w:p>
    <w:p>
      <w:pPr>
        <w:pStyle w:val="ListBullet"/>
      </w:pPr>
      <w:r>
        <w:rPr>
          <w:rFonts w:ascii="Calibri" w:hAnsi="Calibri"/>
          <w:color w:val="444444"/>
          <w:sz w:val="20"/>
        </w:rPr>
        <w:t>Consistencia con los informes oficiales: los 7 informes DOCX ya entregados a plantas usan la metodología correcta; el dashboard en vivo que ven administradores y dirección muestra otra cosa para los mismos datos. Si una planta compara ambos, se ve una contradicción.</w:t>
      </w:r>
    </w:p>
    <w:p>
      <w:pPr>
        <w:pStyle w:val="ListBullet"/>
      </w:pPr>
      <w:r>
        <w:rPr>
          <w:rFonts w:ascii="Calibri" w:hAnsi="Calibri"/>
          <w:color w:val="444444"/>
          <w:sz w:val="20"/>
        </w:rPr>
        <w:t>Cumplimiento normativo: la Guía de Referencia III (NOM-035-STPS-2018) define puntos de corte y agrupación de dominios específicos; usar rangos internos no documentados no es defendible ante una eventual auditoría o inspección de la STPS.</w:t>
      </w:r>
    </w:p>
    <w:p>
      <w:pPr>
        <w:pStyle w:val="ListBullet"/>
      </w:pPr>
      <w:r>
        <w:rPr>
          <w:rFonts w:ascii="Calibri" w:hAnsi="Calibri"/>
          <w:color w:val="444444"/>
          <w:sz w:val="20"/>
        </w:rPr>
        <w:t>Decisiones de negocio: la categoría de riesgo determina qué planes de acción y qué urgencia se comunican al cliente. Sobreestimar el riesgo puede llevar a recomendar intervenciones que no corresponden, o a generar alarma innecesaria en dirección de planta.</w:t>
      </w:r>
    </w:p>
    <w:p>
      <w:pPr>
        <w:spacing w:before="360" w:after="160"/>
      </w:pPr>
      <w:r>
        <w:rPr>
          <w:rFonts w:ascii="Calibri" w:hAnsi="Calibri"/>
          <w:b/>
          <w:color w:val="1E2A4A"/>
          <w:sz w:val="30"/>
        </w:rPr>
        <w:t>6. Alcance del cambio</w:t>
      </w:r>
    </w:p>
    <w:p>
      <w:pPr>
        <w:pStyle w:val="ListBullet"/>
      </w:pPr>
      <w:r>
        <w:rPr>
          <w:rFonts w:ascii="Calibri" w:hAnsi="Calibri"/>
          <w:color w:val="444444"/>
          <w:sz w:val="20"/>
        </w:rPr>
        <w:t>Se actualiza únicamente el motor de cálculo del backend (backend/m06_results/scoring.py) para replicar la metodología ya usada en generar_informe.py. No se modifican preguntas, cuestionarios ni respuestas de trabajadores.</w:t>
      </w:r>
    </w:p>
    <w:p>
      <w:pPr>
        <w:pStyle w:val="ListBullet"/>
      </w:pPr>
      <w:r>
        <w:rPr>
          <w:rFonts w:ascii="Calibri" w:hAnsi="Calibri"/>
          <w:color w:val="444444"/>
          <w:sz w:val="20"/>
        </w:rPr>
        <w:t>Tras aplicar el cambio, es necesario recalcular ("Calcular diagnóstico") todos los ciclos con resultados ya guardados, para que reflejen la categoría correcta.</w:t>
      </w:r>
    </w:p>
    <w:p>
      <w:pPr>
        <w:pStyle w:val="ListBullet"/>
      </w:pPr>
      <w:r>
        <w:rPr>
          <w:rFonts w:ascii="Calibri" w:hAnsi="Calibri"/>
          <w:color w:val="444444"/>
          <w:sz w:val="20"/>
        </w:rPr>
        <w:t>Los informes DOCX ya entregados a las 7 plantas no requieren cambios — ya usan la metodología correcta. Solo se corrige lo que se muestra en el dashboard web.</w:t>
      </w:r>
    </w:p>
    <w:p>
      <w:pPr>
        <w:pStyle w:val="ListBullet"/>
      </w:pPr>
      <w:r>
        <w:rPr>
          <w:rFonts w:ascii="Calibri" w:hAnsi="Calibri"/>
          <w:color w:val="444444"/>
          <w:sz w:val="20"/>
        </w:rPr>
        <w:t>No hay impacto en la disponibilidad del sistema: es un cambio de lógica de cálculo, no de estructura de datos ni de la experiencia de captura de los trabajadores.</w:t>
      </w:r>
    </w:p>
    <w:p>
      <w:pPr>
        <w:spacing w:before="360" w:after="160"/>
      </w:pPr>
      <w:r>
        <w:rPr>
          <w:rFonts w:ascii="Calibri" w:hAnsi="Calibri"/>
          <w:b/>
          <w:color w:val="1E2A4A"/>
          <w:sz w:val="30"/>
        </w:rPr>
        <w:t>7. Autorización solicitada</w:t>
      </w:r>
    </w:p>
    <w:p>
      <w:pPr>
        <w:spacing w:after="120"/>
      </w:pPr>
      <w:r>
        <w:rPr>
          <w:rFonts w:ascii="Calibri" w:hAnsi="Calibri"/>
          <w:b w:val="0"/>
          <w:i w:val="0"/>
          <w:color w:val="444444"/>
          <w:sz w:val="20"/>
        </w:rPr>
        <w:t>Solicitamos autorización de Dirección para aplicar esta corrección en el dashboard de Resultados y recalcular los diagnósticos existentes con la metodología oficial de la Guía III. Una vez autorizado, procederemos a implementar el cambio.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sz w:val="20"/>
              </w:rPr>
              <w:t>Autorizado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sz w:val="20"/>
              </w:rPr>
              <w:t>No autorizado / requiere ajustes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32"/>
              </w:rPr>
              <w:t>☐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32"/>
              </w:rPr>
              <w:t>☐</w:t>
            </w:r>
          </w:p>
        </w:tc>
      </w:tr>
    </w:tbl>
    <w:p/>
    <w:p>
      <w:r>
        <w:rPr>
          <w:color w:val="444444"/>
          <w:sz w:val="20"/>
        </w:rPr>
        <w:t>Nombre y firma: ______________________________          Fecha: ____________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