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C1" w:rsidRDefault="00B00509" w:rsidP="00CB2250">
      <w:pPr>
        <w:rPr>
          <w:b/>
        </w:rPr>
      </w:pPr>
      <w:r w:rsidRPr="00B00509">
        <w:rPr>
          <w:b/>
        </w:rPr>
        <w:t>Funktionsliste Dokumentenmanagement</w:t>
      </w:r>
    </w:p>
    <w:p w:rsidR="00B00509" w:rsidRDefault="00B00509" w:rsidP="00CB2250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B00509" w:rsidTr="003B2DC3">
        <w:tc>
          <w:tcPr>
            <w:tcW w:w="7508" w:type="dxa"/>
          </w:tcPr>
          <w:p w:rsidR="00B00509" w:rsidRDefault="00B00509" w:rsidP="00CB2250">
            <w:pPr>
              <w:rPr>
                <w:b/>
              </w:rPr>
            </w:pPr>
            <w:r>
              <w:rPr>
                <w:b/>
              </w:rPr>
              <w:t>Funktionalität</w:t>
            </w:r>
          </w:p>
        </w:tc>
        <w:tc>
          <w:tcPr>
            <w:tcW w:w="1554" w:type="dxa"/>
          </w:tcPr>
          <w:p w:rsidR="00B00509" w:rsidRDefault="00B00509" w:rsidP="007722E6">
            <w:pPr>
              <w:jc w:val="center"/>
              <w:rPr>
                <w:b/>
              </w:rPr>
            </w:pPr>
            <w:r>
              <w:rPr>
                <w:b/>
              </w:rPr>
              <w:t>Priorität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B00509" w:rsidP="00CB2250">
            <w:r w:rsidRPr="00B00509">
              <w:t>Integration in SAP SuccessFactors Attachment Framework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B00509" w:rsidP="00CB2250">
            <w:r w:rsidRPr="00B00509">
              <w:t>Integration in SAP SuccessFactors U</w:t>
            </w:r>
            <w:r w:rsidR="00CC0DC6">
              <w:t>ser Interface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B00509" w:rsidP="00CB2250">
            <w:r>
              <w:t>Integration in SAP SuccessFactors Prozesse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Default="00B00509" w:rsidP="00B00509">
            <w:r>
              <w:t>Integration in SAP HCM</w:t>
            </w:r>
          </w:p>
          <w:p w:rsidR="00B00509" w:rsidRDefault="00B00509" w:rsidP="00B00509">
            <w:r>
              <w:t>- Abruf Personalakte aus SAP HCM</w:t>
            </w:r>
          </w:p>
          <w:p w:rsidR="00B00509" w:rsidRDefault="00B00509" w:rsidP="00B00509">
            <w:r>
              <w:t xml:space="preserve">- Dokumentenerzeugung </w:t>
            </w:r>
            <w:r w:rsidR="003B2DC3">
              <w:t>aus SAP HCM (Bonusbriefe, Gehaltsbriefe</w:t>
            </w:r>
            <w:r w:rsidR="00CC0DC6">
              <w:t>, …</w:t>
            </w:r>
            <w:r w:rsidR="003B2DC3">
              <w:t>)</w:t>
            </w:r>
          </w:p>
          <w:p w:rsidR="003B2DC3" w:rsidRPr="00B00509" w:rsidRDefault="003B2DC3" w:rsidP="00B00509">
            <w:r>
              <w:t>- Dokumentenupload (Zeitnachweise, Entgeltabrechnung</w:t>
            </w:r>
            <w:r w:rsidR="00CC0DC6">
              <w:t>, …</w:t>
            </w:r>
            <w:r>
              <w:t>)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B00509" w:rsidP="00CB2250">
            <w:r>
              <w:t>Berechtigungsverwaltung in SuccessFactors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Mittel</w:t>
            </w:r>
          </w:p>
        </w:tc>
      </w:tr>
      <w:tr w:rsidR="00B00509" w:rsidTr="003B2DC3">
        <w:tc>
          <w:tcPr>
            <w:tcW w:w="7508" w:type="dxa"/>
          </w:tcPr>
          <w:p w:rsidR="00B00509" w:rsidRDefault="003B2DC3" w:rsidP="00CB2250">
            <w:r>
              <w:t>Dokumentenerzeugung</w:t>
            </w:r>
          </w:p>
          <w:p w:rsidR="00846AB3" w:rsidRDefault="00846AB3" w:rsidP="00CB2250">
            <w:r>
              <w:t>- aus Recruiting mit Ablage in Recruiting (nicht DMS)</w:t>
            </w:r>
          </w:p>
          <w:p w:rsidR="003B2DC3" w:rsidRDefault="003B2DC3" w:rsidP="00CB2250">
            <w:r>
              <w:t>- Vorlagen definieren</w:t>
            </w:r>
          </w:p>
          <w:p w:rsidR="003B2DC3" w:rsidRDefault="003B2DC3" w:rsidP="00CB2250">
            <w:r>
              <w:t>- Automatisierte Verarbeitung</w:t>
            </w:r>
          </w:p>
          <w:p w:rsidR="003B2DC3" w:rsidRDefault="003B2DC3" w:rsidP="00CB2250">
            <w:r>
              <w:t>- Prüfung- und Freigabemechanismen</w:t>
            </w:r>
          </w:p>
          <w:p w:rsidR="003B2DC3" w:rsidRPr="00B00509" w:rsidRDefault="003B2DC3" w:rsidP="00CB2250">
            <w:r>
              <w:t>- Self-Services für Dokumentenerzeugung (bspw. Arbeitgeberbescheinigung)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Default="003B2DC3" w:rsidP="00CB2250">
            <w:r>
              <w:t>Dokumentenmanagement (</w:t>
            </w:r>
            <w:r w:rsidR="00C139DA">
              <w:t xml:space="preserve">z.B. </w:t>
            </w:r>
            <w:r>
              <w:t>Personalakte)</w:t>
            </w:r>
          </w:p>
          <w:p w:rsidR="007722E6" w:rsidRDefault="007722E6" w:rsidP="00CB2250">
            <w:r>
              <w:t>- Bewerberakte</w:t>
            </w:r>
            <w:r w:rsidR="00CC0DC6">
              <w:t xml:space="preserve"> (Interne Bewerbung)</w:t>
            </w:r>
            <w:r>
              <w:t xml:space="preserve"> und Mitarbeiterakte</w:t>
            </w:r>
          </w:p>
          <w:p w:rsidR="003B2DC3" w:rsidRDefault="003B2DC3" w:rsidP="00CB2250">
            <w:r>
              <w:t>- Ablagestrukturen</w:t>
            </w:r>
            <w:r w:rsidR="00C139DA">
              <w:t>, nachträglich Anpassbar (BR beachten)</w:t>
            </w:r>
          </w:p>
          <w:p w:rsidR="003B2DC3" w:rsidRDefault="003B2DC3" w:rsidP="00CB2250">
            <w:r>
              <w:t>- HR Prozesse und Workflows</w:t>
            </w:r>
          </w:p>
          <w:p w:rsidR="003B2DC3" w:rsidRDefault="003B2DC3" w:rsidP="00CB2250">
            <w:r>
              <w:t>- Rollenbasierte Berechtigungs- und Zugriffsteuerung</w:t>
            </w:r>
          </w:p>
          <w:p w:rsidR="007722E6" w:rsidRDefault="003B2DC3" w:rsidP="00CB2250">
            <w:r>
              <w:t>- Self-Services für Zugriff auf Personalakte</w:t>
            </w:r>
          </w:p>
          <w:p w:rsidR="00C139DA" w:rsidRPr="00B00509" w:rsidRDefault="00C139DA" w:rsidP="00CB2250">
            <w:r>
              <w:t>- Migrationsfähigkeit/Konsolidierung von Dokumenten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Default="003B2DC3" w:rsidP="00CB2250">
            <w:r>
              <w:t>Records Management</w:t>
            </w:r>
          </w:p>
          <w:p w:rsidR="003B2DC3" w:rsidRDefault="003B2DC3" w:rsidP="00CB2250">
            <w:r>
              <w:t>- Abbildung von internen und externen Regularien</w:t>
            </w:r>
            <w:r w:rsidR="00C139DA">
              <w:t xml:space="preserve"> (anpassbar)</w:t>
            </w:r>
          </w:p>
          <w:p w:rsidR="003B2DC3" w:rsidRDefault="003B2DC3" w:rsidP="00CB2250">
            <w:r>
              <w:t>- Vollständigkeitsprüfung</w:t>
            </w:r>
            <w:r w:rsidR="00C139DA">
              <w:t xml:space="preserve"> (anpassbar)</w:t>
            </w:r>
          </w:p>
          <w:p w:rsidR="003B2DC3" w:rsidRDefault="003B2DC3" w:rsidP="00CB2250">
            <w:r>
              <w:t>- Sperrfristen</w:t>
            </w:r>
            <w:r w:rsidR="00C139DA">
              <w:t xml:space="preserve"> (anpassbar)</w:t>
            </w:r>
          </w:p>
          <w:p w:rsidR="003B2DC3" w:rsidRDefault="003B2DC3" w:rsidP="00CB2250">
            <w:r>
              <w:t>- Löschfristen</w:t>
            </w:r>
            <w:r w:rsidR="00C139DA">
              <w:t xml:space="preserve"> (anpassbar) </w:t>
            </w:r>
          </w:p>
          <w:p w:rsidR="003B2DC3" w:rsidRDefault="003B2DC3" w:rsidP="00CB2250">
            <w:r>
              <w:t>- Audit</w:t>
            </w:r>
          </w:p>
          <w:p w:rsidR="003B2DC3" w:rsidRPr="00B00509" w:rsidRDefault="003B2DC3" w:rsidP="00CB2250">
            <w:r>
              <w:t>- Compliance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Default="003B2DC3" w:rsidP="003B2DC3">
            <w:r>
              <w:t>Reporting</w:t>
            </w:r>
          </w:p>
          <w:p w:rsidR="003B2DC3" w:rsidRDefault="003B2DC3" w:rsidP="003B2DC3">
            <w:r>
              <w:t>- AdHoc Berichte</w:t>
            </w:r>
          </w:p>
          <w:p w:rsidR="003B2DC3" w:rsidRPr="00B00509" w:rsidRDefault="003B2DC3" w:rsidP="003B2DC3">
            <w:r>
              <w:t>- Dashboards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Mittel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3B2DC3" w:rsidP="00CB2250">
            <w:r>
              <w:t>Volltextsuche</w:t>
            </w:r>
            <w:r w:rsidR="00846AB3">
              <w:t xml:space="preserve"> (OCR), Optional abschaltbar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3B2DC3" w:rsidP="00CB2250">
            <w:r>
              <w:t>Standardintegration von SAP Signature Management by DocuSign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3B2DC3" w:rsidP="00CB2250">
            <w:r>
              <w:t>Dokumentenverteilung (Sharing</w:t>
            </w:r>
            <w:r w:rsidR="00691705">
              <w:t xml:space="preserve"> und Ausleihe</w:t>
            </w:r>
            <w:r>
              <w:t>)</w:t>
            </w:r>
            <w:r w:rsidR="00691705">
              <w:t>, Fristen, Berechtigung, Protokollierung</w:t>
            </w:r>
          </w:p>
        </w:tc>
        <w:tc>
          <w:tcPr>
            <w:tcW w:w="1554" w:type="dxa"/>
          </w:tcPr>
          <w:p w:rsidR="00B00509" w:rsidRPr="00B00509" w:rsidRDefault="00691705" w:rsidP="007722E6">
            <w:pPr>
              <w:jc w:val="center"/>
            </w:pPr>
            <w:r>
              <w:t>Hoch</w:t>
            </w:r>
          </w:p>
        </w:tc>
      </w:tr>
      <w:tr w:rsidR="00B00509" w:rsidTr="003B2DC3">
        <w:tc>
          <w:tcPr>
            <w:tcW w:w="7508" w:type="dxa"/>
          </w:tcPr>
          <w:p w:rsidR="00B00509" w:rsidRPr="00B00509" w:rsidRDefault="007722E6" w:rsidP="00CB2250">
            <w:r>
              <w:t>Integration E-Mail Postfach zur Übernahme von Dokumentenanhängen</w:t>
            </w:r>
          </w:p>
        </w:tc>
        <w:tc>
          <w:tcPr>
            <w:tcW w:w="1554" w:type="dxa"/>
          </w:tcPr>
          <w:p w:rsidR="00B00509" w:rsidRPr="00B00509" w:rsidRDefault="007722E6" w:rsidP="007722E6">
            <w:pPr>
              <w:jc w:val="center"/>
            </w:pPr>
            <w:r>
              <w:t>Mittel</w:t>
            </w:r>
          </w:p>
        </w:tc>
      </w:tr>
      <w:tr w:rsidR="00846AB3" w:rsidTr="003B2DC3">
        <w:tc>
          <w:tcPr>
            <w:tcW w:w="7508" w:type="dxa"/>
          </w:tcPr>
          <w:p w:rsidR="00846AB3" w:rsidRDefault="00846AB3" w:rsidP="00CB2250">
            <w:r>
              <w:t>Mehrsprachigkeit (Deutsch, Englisch), optional weitere Sprachen</w:t>
            </w:r>
          </w:p>
        </w:tc>
        <w:tc>
          <w:tcPr>
            <w:tcW w:w="1554" w:type="dxa"/>
          </w:tcPr>
          <w:p w:rsidR="00846AB3" w:rsidRDefault="00846AB3" w:rsidP="007722E6">
            <w:pPr>
              <w:jc w:val="center"/>
            </w:pPr>
            <w:r>
              <w:t>Hoch</w:t>
            </w:r>
          </w:p>
        </w:tc>
      </w:tr>
      <w:tr w:rsidR="00846AB3" w:rsidTr="003B2DC3">
        <w:tc>
          <w:tcPr>
            <w:tcW w:w="7508" w:type="dxa"/>
          </w:tcPr>
          <w:p w:rsidR="00846AB3" w:rsidRDefault="00846AB3" w:rsidP="00CB2250">
            <w:r>
              <w:t>Mandantenfähigkeit (DZ BANK  und weitere Gruppenunternehmen)</w:t>
            </w:r>
          </w:p>
        </w:tc>
        <w:tc>
          <w:tcPr>
            <w:tcW w:w="1554" w:type="dxa"/>
          </w:tcPr>
          <w:p w:rsidR="00846AB3" w:rsidRDefault="00846AB3" w:rsidP="007722E6">
            <w:pPr>
              <w:jc w:val="center"/>
            </w:pPr>
            <w:r>
              <w:t>Hoch</w:t>
            </w:r>
          </w:p>
        </w:tc>
      </w:tr>
      <w:tr w:rsidR="00846AB3" w:rsidTr="003B2DC3">
        <w:tc>
          <w:tcPr>
            <w:tcW w:w="7508" w:type="dxa"/>
          </w:tcPr>
          <w:p w:rsidR="00846AB3" w:rsidRDefault="00846AB3" w:rsidP="00CB2250">
            <w:r>
              <w:t>Elektronisches Schließfach optional</w:t>
            </w:r>
          </w:p>
        </w:tc>
        <w:tc>
          <w:tcPr>
            <w:tcW w:w="1554" w:type="dxa"/>
          </w:tcPr>
          <w:p w:rsidR="00846AB3" w:rsidRDefault="00846AB3" w:rsidP="007722E6">
            <w:pPr>
              <w:jc w:val="center"/>
            </w:pPr>
            <w:r>
              <w:t>Niedrig</w:t>
            </w:r>
          </w:p>
        </w:tc>
      </w:tr>
      <w:tr w:rsidR="00846AB3" w:rsidTr="003B2DC3">
        <w:tc>
          <w:tcPr>
            <w:tcW w:w="7508" w:type="dxa"/>
          </w:tcPr>
          <w:p w:rsidR="00846AB3" w:rsidRDefault="00C139DA" w:rsidP="00CB2250">
            <w:r>
              <w:t>Migration von XFT nach DMS</w:t>
            </w:r>
          </w:p>
        </w:tc>
        <w:tc>
          <w:tcPr>
            <w:tcW w:w="1554" w:type="dxa"/>
          </w:tcPr>
          <w:p w:rsidR="00846AB3" w:rsidRDefault="00C139DA" w:rsidP="00C139DA">
            <w:pPr>
              <w:jc w:val="center"/>
            </w:pPr>
            <w:r>
              <w:t>Hoch</w:t>
            </w:r>
          </w:p>
        </w:tc>
      </w:tr>
      <w:tr w:rsidR="00C139DA" w:rsidTr="003B2DC3">
        <w:tc>
          <w:tcPr>
            <w:tcW w:w="7508" w:type="dxa"/>
          </w:tcPr>
          <w:p w:rsidR="00C139DA" w:rsidRDefault="00C139DA" w:rsidP="00CB2250">
            <w:r>
              <w:t>Abbildung von bestehenden Escriba Dokumentenvorlagen</w:t>
            </w:r>
          </w:p>
        </w:tc>
        <w:tc>
          <w:tcPr>
            <w:tcW w:w="1554" w:type="dxa"/>
          </w:tcPr>
          <w:p w:rsidR="00C139DA" w:rsidRDefault="00C139DA" w:rsidP="00C139DA">
            <w:pPr>
              <w:jc w:val="center"/>
            </w:pPr>
            <w:r>
              <w:t>Hoch</w:t>
            </w:r>
          </w:p>
        </w:tc>
      </w:tr>
      <w:tr w:rsidR="00C139DA" w:rsidTr="003B2DC3">
        <w:tc>
          <w:tcPr>
            <w:tcW w:w="7508" w:type="dxa"/>
          </w:tcPr>
          <w:p w:rsidR="00C139DA" w:rsidRDefault="00C139DA" w:rsidP="00CB2250">
            <w:r>
              <w:t xml:space="preserve">Umsetzung länderspezifischer gesetzlicher Anforderungen </w:t>
            </w:r>
          </w:p>
        </w:tc>
        <w:tc>
          <w:tcPr>
            <w:tcW w:w="1554" w:type="dxa"/>
          </w:tcPr>
          <w:p w:rsidR="00C139DA" w:rsidRDefault="00C139DA" w:rsidP="00C139DA">
            <w:pPr>
              <w:jc w:val="center"/>
            </w:pPr>
            <w:r>
              <w:t>Niedrig</w:t>
            </w:r>
          </w:p>
        </w:tc>
      </w:tr>
      <w:tr w:rsidR="00C139DA" w:rsidTr="003B2DC3">
        <w:tc>
          <w:tcPr>
            <w:tcW w:w="7508" w:type="dxa"/>
          </w:tcPr>
          <w:p w:rsidR="00C139DA" w:rsidRDefault="00C139DA" w:rsidP="00CB2250">
            <w:r>
              <w:t>Standardisierung von Prozessen</w:t>
            </w:r>
          </w:p>
        </w:tc>
        <w:tc>
          <w:tcPr>
            <w:tcW w:w="1554" w:type="dxa"/>
          </w:tcPr>
          <w:p w:rsidR="00C139DA" w:rsidRDefault="00300495" w:rsidP="00C139DA">
            <w:pPr>
              <w:jc w:val="center"/>
            </w:pPr>
            <w:r>
              <w:t>Mittel</w:t>
            </w:r>
          </w:p>
        </w:tc>
      </w:tr>
      <w:tr w:rsidR="00C139DA" w:rsidTr="003B2DC3">
        <w:tc>
          <w:tcPr>
            <w:tcW w:w="7508" w:type="dxa"/>
          </w:tcPr>
          <w:p w:rsidR="00C139DA" w:rsidRDefault="00C139DA" w:rsidP="00CB2250">
            <w:r>
              <w:t>Mehrstufige Workflowprozesse</w:t>
            </w:r>
            <w:r w:rsidR="00691705">
              <w:t xml:space="preserve"> (Freigabe, Prüfung, …)</w:t>
            </w:r>
          </w:p>
        </w:tc>
        <w:tc>
          <w:tcPr>
            <w:tcW w:w="1554" w:type="dxa"/>
          </w:tcPr>
          <w:p w:rsidR="00C139DA" w:rsidRDefault="00300495" w:rsidP="00C139DA">
            <w:pPr>
              <w:jc w:val="center"/>
            </w:pPr>
            <w:r>
              <w:t>Hoch</w:t>
            </w:r>
          </w:p>
        </w:tc>
      </w:tr>
      <w:tr w:rsidR="00C139DA" w:rsidTr="003B2DC3">
        <w:tc>
          <w:tcPr>
            <w:tcW w:w="7508" w:type="dxa"/>
          </w:tcPr>
          <w:p w:rsidR="00C139DA" w:rsidRDefault="00C139DA" w:rsidP="00CB2250">
            <w:r>
              <w:t>Notification Services (E-Mail, ToDo Liste</w:t>
            </w:r>
            <w:r w:rsidR="00300495">
              <w:t xml:space="preserve"> in SuccessFactors</w:t>
            </w:r>
            <w:r>
              <w:t>, Benachrichtigungen, …)</w:t>
            </w:r>
          </w:p>
        </w:tc>
        <w:tc>
          <w:tcPr>
            <w:tcW w:w="1554" w:type="dxa"/>
          </w:tcPr>
          <w:p w:rsidR="00C139DA" w:rsidRDefault="00300495" w:rsidP="00C139DA">
            <w:pPr>
              <w:jc w:val="center"/>
            </w:pPr>
            <w:r>
              <w:t>Hoch</w:t>
            </w:r>
          </w:p>
        </w:tc>
      </w:tr>
      <w:tr w:rsidR="00691705" w:rsidTr="003B2DC3">
        <w:tc>
          <w:tcPr>
            <w:tcW w:w="7508" w:type="dxa"/>
          </w:tcPr>
          <w:p w:rsidR="00691705" w:rsidRDefault="00A71336" w:rsidP="00CB2250">
            <w:r>
              <w:t>Grafikverarbeitung (gescannte Unterschiften, Firmenlogo)</w:t>
            </w:r>
          </w:p>
        </w:tc>
        <w:tc>
          <w:tcPr>
            <w:tcW w:w="1554" w:type="dxa"/>
          </w:tcPr>
          <w:p w:rsidR="00691705" w:rsidRDefault="00A71336" w:rsidP="00C139DA">
            <w:pPr>
              <w:jc w:val="center"/>
            </w:pPr>
            <w:r>
              <w:t>Hoch</w:t>
            </w:r>
          </w:p>
        </w:tc>
      </w:tr>
      <w:tr w:rsidR="00A71336" w:rsidTr="003B2DC3">
        <w:tc>
          <w:tcPr>
            <w:tcW w:w="7508" w:type="dxa"/>
          </w:tcPr>
          <w:p w:rsidR="00A71336" w:rsidRDefault="00A71336" w:rsidP="00CB2250">
            <w:r>
              <w:t>Dateiformate in Personalakte, welche Formate können verarbeitet werden</w:t>
            </w:r>
          </w:p>
          <w:p w:rsidR="00A71336" w:rsidRDefault="00A71336" w:rsidP="00CB2250">
            <w:r>
              <w:t>Empfehlung zur Digitalisierung von Unterschriften</w:t>
            </w:r>
          </w:p>
        </w:tc>
        <w:tc>
          <w:tcPr>
            <w:tcW w:w="1554" w:type="dxa"/>
          </w:tcPr>
          <w:p w:rsidR="00A71336" w:rsidRDefault="00A71336" w:rsidP="00C139DA">
            <w:pPr>
              <w:jc w:val="center"/>
            </w:pPr>
            <w:r>
              <w:t>Hoch</w:t>
            </w:r>
          </w:p>
        </w:tc>
      </w:tr>
      <w:tr w:rsidR="00A71336" w:rsidTr="003B2DC3">
        <w:tc>
          <w:tcPr>
            <w:tcW w:w="7508" w:type="dxa"/>
          </w:tcPr>
          <w:p w:rsidR="00A71336" w:rsidRDefault="00A71336" w:rsidP="00CB2250">
            <w:r>
              <w:t>Biometrische Datenverarbeitung</w:t>
            </w:r>
          </w:p>
        </w:tc>
        <w:tc>
          <w:tcPr>
            <w:tcW w:w="1554" w:type="dxa"/>
          </w:tcPr>
          <w:p w:rsidR="00A71336" w:rsidRDefault="00A71336" w:rsidP="00C139DA">
            <w:pPr>
              <w:jc w:val="center"/>
            </w:pPr>
            <w:r>
              <w:t>Niedrig</w:t>
            </w:r>
          </w:p>
        </w:tc>
      </w:tr>
      <w:tr w:rsidR="00A71336" w:rsidTr="003B2DC3">
        <w:tc>
          <w:tcPr>
            <w:tcW w:w="7508" w:type="dxa"/>
          </w:tcPr>
          <w:p w:rsidR="00A71336" w:rsidRDefault="00A71336" w:rsidP="00CB2250">
            <w:r>
              <w:t>Berechtigungen (Interne, Externe)</w:t>
            </w:r>
          </w:p>
        </w:tc>
        <w:tc>
          <w:tcPr>
            <w:tcW w:w="1554" w:type="dxa"/>
          </w:tcPr>
          <w:p w:rsidR="00A71336" w:rsidRDefault="00A71336" w:rsidP="00C139DA">
            <w:pPr>
              <w:jc w:val="center"/>
            </w:pPr>
            <w:r>
              <w:t>Hoch</w:t>
            </w:r>
          </w:p>
        </w:tc>
      </w:tr>
      <w:tr w:rsidR="00A71336" w:rsidTr="003B2DC3">
        <w:tc>
          <w:tcPr>
            <w:tcW w:w="7508" w:type="dxa"/>
          </w:tcPr>
          <w:p w:rsidR="00A71336" w:rsidRDefault="001268B6" w:rsidP="00CB2250">
            <w:r>
              <w:t>Massenupload und Download von Dokumenten</w:t>
            </w:r>
          </w:p>
        </w:tc>
        <w:tc>
          <w:tcPr>
            <w:tcW w:w="1554" w:type="dxa"/>
          </w:tcPr>
          <w:p w:rsidR="00A71336" w:rsidRDefault="001268B6" w:rsidP="00C139DA">
            <w:pPr>
              <w:jc w:val="center"/>
            </w:pPr>
            <w:r>
              <w:t>Hoch</w:t>
            </w:r>
          </w:p>
        </w:tc>
      </w:tr>
      <w:tr w:rsidR="001268B6" w:rsidTr="003B2DC3">
        <w:tc>
          <w:tcPr>
            <w:tcW w:w="7508" w:type="dxa"/>
          </w:tcPr>
          <w:p w:rsidR="001268B6" w:rsidRDefault="001268B6" w:rsidP="00CB2250">
            <w:r>
              <w:t>Mobility</w:t>
            </w:r>
          </w:p>
        </w:tc>
        <w:tc>
          <w:tcPr>
            <w:tcW w:w="1554" w:type="dxa"/>
          </w:tcPr>
          <w:p w:rsidR="001268B6" w:rsidRDefault="001268B6" w:rsidP="00C139DA">
            <w:pPr>
              <w:jc w:val="center"/>
            </w:pPr>
            <w:r>
              <w:t>Hoch</w:t>
            </w:r>
          </w:p>
        </w:tc>
      </w:tr>
      <w:tr w:rsidR="001268B6" w:rsidTr="003B2DC3">
        <w:tc>
          <w:tcPr>
            <w:tcW w:w="7508" w:type="dxa"/>
          </w:tcPr>
          <w:p w:rsidR="001268B6" w:rsidRDefault="001268B6" w:rsidP="00CB2250">
            <w:r>
              <w:t>EU-Access, DSGVO konform</w:t>
            </w:r>
          </w:p>
        </w:tc>
        <w:tc>
          <w:tcPr>
            <w:tcW w:w="1554" w:type="dxa"/>
          </w:tcPr>
          <w:p w:rsidR="001268B6" w:rsidRDefault="001268B6" w:rsidP="00C139DA">
            <w:pPr>
              <w:jc w:val="center"/>
            </w:pPr>
            <w:r>
              <w:t>Hoch</w:t>
            </w:r>
          </w:p>
        </w:tc>
      </w:tr>
      <w:tr w:rsidR="0029574A" w:rsidTr="003B2DC3">
        <w:tc>
          <w:tcPr>
            <w:tcW w:w="7508" w:type="dxa"/>
          </w:tcPr>
          <w:p w:rsidR="0029574A" w:rsidRDefault="0029574A" w:rsidP="00CB2250">
            <w:r>
              <w:t>Schulung der Benutzer</w:t>
            </w:r>
          </w:p>
        </w:tc>
        <w:tc>
          <w:tcPr>
            <w:tcW w:w="1554" w:type="dxa"/>
          </w:tcPr>
          <w:p w:rsidR="0029574A" w:rsidRDefault="0029574A" w:rsidP="00C139DA">
            <w:pPr>
              <w:jc w:val="center"/>
            </w:pPr>
            <w:r>
              <w:t>Mittel</w:t>
            </w:r>
          </w:p>
        </w:tc>
      </w:tr>
      <w:tr w:rsidR="000C5F78" w:rsidTr="003B2DC3">
        <w:tc>
          <w:tcPr>
            <w:tcW w:w="7508" w:type="dxa"/>
          </w:tcPr>
          <w:p w:rsidR="000C5F78" w:rsidRDefault="000C5F78" w:rsidP="00CB2250">
            <w:r>
              <w:t>Schnittstellen API</w:t>
            </w:r>
          </w:p>
        </w:tc>
        <w:tc>
          <w:tcPr>
            <w:tcW w:w="1554" w:type="dxa"/>
          </w:tcPr>
          <w:p w:rsidR="000C5F78" w:rsidRDefault="00350692" w:rsidP="00C139DA">
            <w:pPr>
              <w:jc w:val="center"/>
            </w:pPr>
            <w:r>
              <w:t>Hoch</w:t>
            </w:r>
            <w:bookmarkStart w:id="0" w:name="_GoBack"/>
            <w:bookmarkEnd w:id="0"/>
          </w:p>
        </w:tc>
      </w:tr>
    </w:tbl>
    <w:p w:rsidR="00B00509" w:rsidRDefault="00B00509" w:rsidP="00CB2250"/>
    <w:p w:rsidR="00B00509" w:rsidRPr="00CB2250" w:rsidRDefault="00B00509" w:rsidP="00CB2250"/>
    <w:sectPr w:rsidR="00B00509" w:rsidRPr="00CB2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509" w:rsidRDefault="00B00509" w:rsidP="003710A6">
      <w:pPr>
        <w:spacing w:after="0"/>
      </w:pPr>
      <w:r>
        <w:separator/>
      </w:r>
    </w:p>
  </w:endnote>
  <w:endnote w:type="continuationSeparator" w:id="0">
    <w:p w:rsidR="00B00509" w:rsidRDefault="00B00509" w:rsidP="00371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altName w:val="Corbel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509" w:rsidRDefault="00B00509" w:rsidP="003710A6">
      <w:pPr>
        <w:spacing w:after="0"/>
      </w:pPr>
      <w:r>
        <w:separator/>
      </w:r>
    </w:p>
  </w:footnote>
  <w:footnote w:type="continuationSeparator" w:id="0">
    <w:p w:rsidR="00B00509" w:rsidRDefault="00B00509" w:rsidP="003710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2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2E446F"/>
    <w:multiLevelType w:val="hybridMultilevel"/>
    <w:tmpl w:val="1E701644"/>
    <w:lvl w:ilvl="0" w:tplc="0846B542">
      <w:start w:val="1"/>
      <w:numFmt w:val="decimal"/>
      <w:pStyle w:val="NummerierteListe"/>
      <w:lvlText w:val="%1."/>
      <w:lvlJc w:val="left"/>
      <w:pPr>
        <w:ind w:left="360" w:hanging="360"/>
      </w:pPr>
      <w:rPr>
        <w:rFonts w:ascii="Frutiger 45 Light" w:hAnsi="Frutiger 45 Light" w:hint="default"/>
        <w:b w:val="0"/>
        <w:i w:val="0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79418C"/>
    <w:multiLevelType w:val="hybridMultilevel"/>
    <w:tmpl w:val="C74C207E"/>
    <w:lvl w:ilvl="0" w:tplc="395614CE">
      <w:start w:val="1"/>
      <w:numFmt w:val="bullet"/>
      <w:pStyle w:val="Markierungspunk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767F"/>
    <w:multiLevelType w:val="hybridMultilevel"/>
    <w:tmpl w:val="60C018B2"/>
    <w:lvl w:ilvl="0" w:tplc="1F6CE900">
      <w:start w:val="1"/>
      <w:numFmt w:val="bullet"/>
      <w:pStyle w:val="Spiegelstrich"/>
      <w:lvlText w:val="–"/>
      <w:lvlJc w:val="left"/>
      <w:pPr>
        <w:tabs>
          <w:tab w:val="num" w:pos="357"/>
        </w:tabs>
        <w:ind w:left="357" w:hanging="357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684"/>
        </w:tabs>
        <w:ind w:left="168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404"/>
        </w:tabs>
        <w:ind w:left="240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844"/>
        </w:tabs>
        <w:ind w:left="38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64"/>
        </w:tabs>
        <w:ind w:left="45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84"/>
        </w:tabs>
        <w:ind w:left="52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04"/>
        </w:tabs>
        <w:ind w:left="60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24"/>
        </w:tabs>
        <w:ind w:left="67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357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09"/>
    <w:rsid w:val="000678C8"/>
    <w:rsid w:val="000C5F78"/>
    <w:rsid w:val="001268B6"/>
    <w:rsid w:val="001A755F"/>
    <w:rsid w:val="002358AD"/>
    <w:rsid w:val="00253EC1"/>
    <w:rsid w:val="0029574A"/>
    <w:rsid w:val="002B6BE1"/>
    <w:rsid w:val="00300495"/>
    <w:rsid w:val="00350692"/>
    <w:rsid w:val="003710A6"/>
    <w:rsid w:val="003B2DC3"/>
    <w:rsid w:val="004832FA"/>
    <w:rsid w:val="005A5258"/>
    <w:rsid w:val="00691705"/>
    <w:rsid w:val="006C37D5"/>
    <w:rsid w:val="007722E6"/>
    <w:rsid w:val="007931AD"/>
    <w:rsid w:val="008361AB"/>
    <w:rsid w:val="00846AB3"/>
    <w:rsid w:val="008E003F"/>
    <w:rsid w:val="00A55A3E"/>
    <w:rsid w:val="00A71336"/>
    <w:rsid w:val="00AC0AF4"/>
    <w:rsid w:val="00AE3019"/>
    <w:rsid w:val="00B00509"/>
    <w:rsid w:val="00B24F49"/>
    <w:rsid w:val="00B6036E"/>
    <w:rsid w:val="00B753E9"/>
    <w:rsid w:val="00B96B37"/>
    <w:rsid w:val="00C139DA"/>
    <w:rsid w:val="00C9009E"/>
    <w:rsid w:val="00CB2250"/>
    <w:rsid w:val="00CC0DC6"/>
    <w:rsid w:val="00D40D0A"/>
    <w:rsid w:val="00D825B9"/>
    <w:rsid w:val="00E246E4"/>
    <w:rsid w:val="00E452A6"/>
    <w:rsid w:val="00E63B37"/>
    <w:rsid w:val="00EF2252"/>
    <w:rsid w:val="00EF3DC9"/>
    <w:rsid w:val="00F45BF4"/>
    <w:rsid w:val="00F718AC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283DAF"/>
  <w15:chartTrackingRefBased/>
  <w15:docId w15:val="{478BE5D6-E3D4-4FD2-84D2-EBE2747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45 Light" w:eastAsiaTheme="minorHAnsi" w:hAnsi="Frutiger 45 Light" w:cstheme="minorBidi"/>
        <w:color w:val="000000" w:themeColor="text1"/>
        <w:sz w:val="22"/>
        <w:szCs w:val="22"/>
        <w:lang w:val="de-DE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32FA"/>
  </w:style>
  <w:style w:type="paragraph" w:styleId="berschrift1">
    <w:name w:val="heading 1"/>
    <w:next w:val="Standard"/>
    <w:link w:val="berschrift1Zchn"/>
    <w:uiPriority w:val="9"/>
    <w:qFormat/>
    <w:rsid w:val="00A55A3E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berschrift2">
    <w:name w:val="heading 2"/>
    <w:next w:val="Standard"/>
    <w:link w:val="berschrift2Zchn"/>
    <w:uiPriority w:val="9"/>
    <w:qFormat/>
    <w:rsid w:val="00A55A3E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berschrift3">
    <w:name w:val="heading 3"/>
    <w:next w:val="Standard"/>
    <w:link w:val="berschrift3Zchn"/>
    <w:uiPriority w:val="9"/>
    <w:qFormat/>
    <w:rsid w:val="00A55A3E"/>
    <w:pPr>
      <w:keepNext/>
      <w:keepLines/>
      <w:numPr>
        <w:ilvl w:val="2"/>
        <w:numId w:val="5"/>
      </w:numPr>
      <w:spacing w:before="160" w:after="120"/>
      <w:outlineLvl w:val="2"/>
    </w:pPr>
    <w:rPr>
      <w:rFonts w:eastAsiaTheme="majorEastAsia" w:cstheme="majorBidi"/>
      <w:bCs/>
      <w:color w:val="auto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A55A3E"/>
    <w:pPr>
      <w:numPr>
        <w:ilvl w:val="3"/>
        <w:numId w:val="5"/>
      </w:numPr>
      <w:tabs>
        <w:tab w:val="left" w:pos="1072"/>
      </w:tabs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5F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774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5F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5F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5F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5F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rsid w:val="00A55A3E"/>
    <w:rPr>
      <w:b/>
      <w:bCs/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55A3E"/>
    <w:rPr>
      <w:color w:val="auto"/>
    </w:rPr>
  </w:style>
  <w:style w:type="character" w:styleId="Hyperlink">
    <w:name w:val="Hyperlink"/>
    <w:basedOn w:val="Absatz-Standardschriftart"/>
    <w:uiPriority w:val="99"/>
    <w:unhideWhenUsed/>
    <w:rsid w:val="00A55A3E"/>
    <w:rPr>
      <w:color w:val="000000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5A3E"/>
    <w:rPr>
      <w:rFonts w:eastAsiaTheme="majorEastAsia" w:cstheme="majorBidi"/>
      <w:b/>
      <w:bCs/>
      <w:color w:val="auto"/>
      <w:szCs w:val="28"/>
    </w:rPr>
  </w:style>
  <w:style w:type="paragraph" w:styleId="Inhaltsverzeichnisberschrift">
    <w:name w:val="TOC Heading"/>
    <w:next w:val="Standard"/>
    <w:uiPriority w:val="39"/>
    <w:semiHidden/>
    <w:unhideWhenUsed/>
    <w:rsid w:val="00A55A3E"/>
    <w:pPr>
      <w:spacing w:before="480" w:after="120" w:line="360" w:lineRule="auto"/>
    </w:pPr>
    <w:rPr>
      <w:rFonts w:eastAsiaTheme="majorEastAsia" w:cstheme="majorBidi"/>
      <w:b/>
      <w:bCs/>
      <w:color w:val="auto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55A3E"/>
    <w:rPr>
      <w:color w:val="auto"/>
    </w:rPr>
  </w:style>
  <w:style w:type="paragraph" w:customStyle="1" w:styleId="Markierungspunkt">
    <w:name w:val="Markierungspunkt"/>
    <w:uiPriority w:val="14"/>
    <w:qFormat/>
    <w:rsid w:val="00A55A3E"/>
    <w:pPr>
      <w:numPr>
        <w:numId w:val="1"/>
      </w:numPr>
    </w:pPr>
    <w:rPr>
      <w:rFonts w:eastAsia="Times New Roman" w:cs="Times New Roman"/>
      <w:color w:val="auto"/>
      <w:szCs w:val="24"/>
      <w:lang w:eastAsia="de-DE"/>
    </w:rPr>
  </w:style>
  <w:style w:type="paragraph" w:customStyle="1" w:styleId="Spiegelstrich">
    <w:name w:val="Spiegelstrich"/>
    <w:uiPriority w:val="14"/>
    <w:qFormat/>
    <w:rsid w:val="00A55A3E"/>
    <w:pPr>
      <w:numPr>
        <w:numId w:val="2"/>
      </w:numPr>
    </w:pPr>
    <w:rPr>
      <w:rFonts w:eastAsia="Times New Roman" w:cs="Times New Roman"/>
      <w:color w:val="auto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A3E"/>
    <w:rPr>
      <w:rFonts w:eastAsiaTheme="majorEastAsia" w:cstheme="majorBidi"/>
      <w:b/>
      <w:bCs/>
      <w:color w:val="auto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A3E"/>
    <w:rPr>
      <w:rFonts w:eastAsiaTheme="majorEastAsia" w:cstheme="majorBidi"/>
      <w:bCs/>
      <w:color w:val="auto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32FA"/>
    <w:rPr>
      <w:rFonts w:eastAsiaTheme="majorEastAsia" w:cstheme="majorBidi"/>
      <w:bCs/>
      <w:iCs/>
    </w:rPr>
  </w:style>
  <w:style w:type="paragraph" w:styleId="Verzeichnis1">
    <w:name w:val="toc 1"/>
    <w:next w:val="Standard"/>
    <w:autoRedefine/>
    <w:uiPriority w:val="39"/>
    <w:unhideWhenUsed/>
    <w:rsid w:val="00A55A3E"/>
    <w:pPr>
      <w:tabs>
        <w:tab w:val="left" w:pos="440"/>
        <w:tab w:val="right" w:leader="dot" w:pos="9062"/>
      </w:tabs>
      <w:ind w:left="357" w:hanging="357"/>
    </w:pPr>
    <w:rPr>
      <w:b/>
      <w:color w:val="auto"/>
    </w:rPr>
  </w:style>
  <w:style w:type="paragraph" w:styleId="Verzeichnis2">
    <w:name w:val="toc 2"/>
    <w:next w:val="Standard"/>
    <w:autoRedefine/>
    <w:uiPriority w:val="39"/>
    <w:unhideWhenUsed/>
    <w:rsid w:val="00A55A3E"/>
    <w:pPr>
      <w:tabs>
        <w:tab w:val="left" w:pos="896"/>
        <w:tab w:val="right" w:leader="dot" w:pos="9062"/>
      </w:tabs>
      <w:ind w:left="510" w:hanging="510"/>
    </w:pPr>
    <w:rPr>
      <w:noProof/>
      <w:color w:val="auto"/>
    </w:rPr>
  </w:style>
  <w:style w:type="paragraph" w:styleId="Verzeichnis3">
    <w:name w:val="toc 3"/>
    <w:basedOn w:val="Standard"/>
    <w:next w:val="Standard"/>
    <w:autoRedefine/>
    <w:uiPriority w:val="39"/>
    <w:unhideWhenUsed/>
    <w:rsid w:val="00A55A3E"/>
    <w:pPr>
      <w:tabs>
        <w:tab w:val="left" w:pos="1320"/>
        <w:tab w:val="left" w:pos="1760"/>
        <w:tab w:val="right" w:leader="dot" w:pos="9062"/>
      </w:tabs>
      <w:ind w:left="737" w:hanging="737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5FB"/>
    <w:rPr>
      <w:rFonts w:asciiTheme="majorHAnsi" w:eastAsiaTheme="majorEastAsia" w:hAnsiTheme="majorHAnsi" w:cstheme="majorBidi"/>
      <w:color w:val="774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5FB"/>
    <w:rPr>
      <w:rFonts w:asciiTheme="majorHAnsi" w:eastAsiaTheme="majorEastAsia" w:hAnsiTheme="majorHAnsi" w:cstheme="majorBidi"/>
      <w:i/>
      <w:iCs/>
      <w:color w:val="774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5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ummerierteListe">
    <w:name w:val="Nummerierte Liste"/>
    <w:uiPriority w:val="15"/>
    <w:qFormat/>
    <w:rsid w:val="00E63B37"/>
    <w:pPr>
      <w:numPr>
        <w:numId w:val="6"/>
      </w:numPr>
    </w:pPr>
    <w:rPr>
      <w:rFonts w:eastAsia="Times New Roman" w:cs="Times New Roman"/>
      <w:color w:val="auto"/>
      <w:lang w:eastAsia="de-DE"/>
    </w:rPr>
  </w:style>
  <w:style w:type="paragraph" w:styleId="KeinLeerraum">
    <w:name w:val="No Spacing"/>
    <w:uiPriority w:val="1"/>
    <w:qFormat/>
    <w:rsid w:val="00D825B9"/>
    <w:pPr>
      <w:spacing w:after="0"/>
    </w:pPr>
  </w:style>
  <w:style w:type="character" w:styleId="SchwacheHervorhebung">
    <w:name w:val="Subtle Emphasis"/>
    <w:basedOn w:val="Absatz-Standardschriftart"/>
    <w:uiPriority w:val="19"/>
    <w:qFormat/>
    <w:rsid w:val="00253EC1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59"/>
    <w:rsid w:val="00B005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yDZ">
  <a:themeElements>
    <a:clrScheme name="DZ BANK 2016-07-07">
      <a:dk1>
        <a:srgbClr val="000000"/>
      </a:dk1>
      <a:lt1>
        <a:srgbClr val="FFFFFF"/>
      </a:lt1>
      <a:dk2>
        <a:srgbClr val="707172"/>
      </a:dk2>
      <a:lt2>
        <a:srgbClr val="DFDEDD"/>
      </a:lt2>
      <a:accent1>
        <a:srgbClr val="F08200"/>
      </a:accent1>
      <a:accent2>
        <a:srgbClr val="0E3C8A"/>
      </a:accent2>
      <a:accent3>
        <a:srgbClr val="E6460F"/>
      </a:accent3>
      <a:accent4>
        <a:srgbClr val="86A8D0"/>
      </a:accent4>
      <a:accent5>
        <a:srgbClr val="707172"/>
      </a:accent5>
      <a:accent6>
        <a:srgbClr val="DFDEDD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0000" tIns="46800" rIns="90000" bIns="4680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 typeface="Arial" charset="0"/>
          <a:buNone/>
          <a:tabLst/>
          <a:defRPr kumimoji="0" sz="2000" b="0" i="0" u="none" strike="noStrike" cap="none" normalizeH="0" baseline="0" dirty="0" err="1" smtClean="0">
            <a:ln>
              <a:noFill/>
            </a:ln>
            <a:solidFill>
              <a:schemeClr val="bg1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solidFill>
          <a:schemeClr val="bg1"/>
        </a:solidFill>
        <a:ln w="63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rtlCol="0">
        <a:spAutoFit/>
      </a:bodyPr>
      <a:lstStyle>
        <a:defPPr algn="l">
          <a:defRPr dirty="0" err="1" smtClean="0"/>
        </a:defPPr>
      </a:lstStyle>
    </a:txDef>
  </a:objectDefaults>
  <a:extraClrSchemeLst/>
  <a:custClrLst>
    <a:custClr name="1 100%">
      <a:srgbClr val="F08200"/>
    </a:custClr>
    <a:custClr name="2 100%">
      <a:srgbClr val="E6460F"/>
    </a:custClr>
    <a:custClr name="3 100%">
      <a:srgbClr val="0E3C8A"/>
    </a:custClr>
    <a:custClr name="4 100%">
      <a:srgbClr val="192D46"/>
    </a:custClr>
    <a:custClr name="5 100%">
      <a:srgbClr val="707172"/>
    </a:custClr>
    <a:custClr name="6 100%">
      <a:srgbClr val="ABABAB"/>
    </a:custClr>
    <a:custClr name="7 100%">
      <a:srgbClr val="FAB400"/>
    </a:custClr>
    <a:custClr name="8 100%">
      <a:srgbClr val="EC6400"/>
    </a:custClr>
    <a:custClr name="9 100%">
      <a:srgbClr val="B8D4E6"/>
    </a:custClr>
    <a:custClr name="10 100%">
      <a:srgbClr val="86A8D0"/>
    </a:custClr>
    <a:custClr name="1 75%">
      <a:srgbClr val="F4A140"/>
    </a:custClr>
    <a:custClr name="2 75%">
      <a:srgbClr val="EC744B"/>
    </a:custClr>
    <a:custClr name="3 75%">
      <a:srgbClr val="4A6DA7"/>
    </a:custClr>
    <a:custClr name="4 75%">
      <a:srgbClr val="536274"/>
    </a:custClr>
    <a:custClr name="5 75%">
      <a:srgbClr val="949595"/>
    </a:custClr>
    <a:custClr name="6 75%">
      <a:srgbClr val="C0C0C0"/>
    </a:custClr>
    <a:custClr name="7 50%">
      <a:srgbClr val="FCD97F"/>
    </a:custClr>
    <a:custClr name="8 50%">
      <a:srgbClr val="F5B17F"/>
    </a:custClr>
    <a:custClr name="9 50%">
      <a:srgbClr val="DBE9F2"/>
    </a:custClr>
    <a:custClr name="10 50%">
      <a:srgbClr val="C2D3E7"/>
    </a:custClr>
    <a:custClr name="1 50%">
      <a:srgbClr val="F7C07F"/>
    </a:custClr>
    <a:custClr name="2 50%">
      <a:srgbClr val="F2A287"/>
    </a:custClr>
    <a:custClr name="3 50%">
      <a:srgbClr val="869DC4"/>
    </a:custClr>
    <a:custClr name="4 50%">
      <a:srgbClr val="8C96A2"/>
    </a:custClr>
    <a:custClr name="5 50%">
      <a:srgbClr val="B7B8B8"/>
    </a:custClr>
    <a:custClr name="6 50%">
      <a:srgbClr val="D5D5D5"/>
    </a:custClr>
    <a:custClr name="11 100%">
      <a:srgbClr val="5578B2"/>
    </a:custClr>
    <a:custClr name="12 100%">
      <a:srgbClr val="DFDEDD"/>
    </a:custClr>
    <a:custClr name="13 100%">
      <a:srgbClr val="404040"/>
    </a:custClr>
    <a:custClr name="14 100%">
      <a:srgbClr val="000000"/>
    </a:custClr>
    <a:custClr name="1 30%">
      <a:srgbClr val="FAD9B2"/>
    </a:custClr>
    <a:custClr name="2 30%">
      <a:srgbClr val="F7C7B7"/>
    </a:custClr>
    <a:custClr name="3 30%">
      <a:srgbClr val="B6C4DC"/>
    </a:custClr>
    <a:custClr name="4 30%">
      <a:srgbClr val="BAC0C7"/>
    </a:custClr>
    <a:custClr name="5 30%">
      <a:srgbClr val="D4D4D4"/>
    </a:custClr>
    <a:custClr name="6 30%">
      <a:srgbClr val="E6E6E6"/>
    </a:custClr>
    <a:custClr name="11 50%">
      <a:srgbClr val="AABBD8"/>
    </a:custClr>
    <a:custClr name="12 40%">
      <a:srgbClr val="F2F2F1"/>
    </a:custClr>
    <a:custClr name="13 65%">
      <a:srgbClr val="838383"/>
    </a:custClr>
    <a:custClr name="14 65%">
      <a:srgbClr val="595959"/>
    </a:custClr>
  </a:custClrLst>
  <a:extLst>
    <a:ext uri="{05A4C25C-085E-4340-85A3-A5531E510DB2}">
      <thm15:themeFamily xmlns:thm15="http://schemas.microsoft.com/office/thememl/2012/main" name="MyDZ" id="{F2F17CFE-0ECE-4609-B217-481347D7BDA2}" vid="{13546241-FDCD-458C-83BB-61773ACAA4C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DZ BANK AG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Baumbach</dc:creator>
  <cp:keywords/>
  <dc:description/>
  <cp:lastModifiedBy>Matthias Baumbach</cp:lastModifiedBy>
  <cp:revision>6</cp:revision>
  <dcterms:created xsi:type="dcterms:W3CDTF">2018-11-21T10:11:00Z</dcterms:created>
  <dcterms:modified xsi:type="dcterms:W3CDTF">2018-12-04T08:00:00Z</dcterms:modified>
</cp:coreProperties>
</file>