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c77mtpgfwny" w:id="0"/>
      <w:bookmarkEnd w:id="0"/>
      <w:r w:rsidDel="00000000" w:rsidR="00000000" w:rsidRPr="00000000">
        <w:rPr>
          <w:rtl w:val="0"/>
        </w:rPr>
        <w:t xml:space="preserve">Interoperability in Healthcare - FHIR for Data Exchange, openEHR for Persistency, Showcase Swiss Immunization - Fact Sheet</w:t>
      </w:r>
    </w:p>
    <w:p w:rsidR="00000000" w:rsidDel="00000000" w:rsidP="00000000" w:rsidRDefault="00000000" w:rsidRPr="00000000" w14:paraId="00000002">
      <w:pPr>
        <w:spacing w:line="276.00000545454543" w:lineRule="auto"/>
        <w:rPr/>
      </w:pPr>
      <w:r w:rsidDel="00000000" w:rsidR="00000000" w:rsidRPr="00000000">
        <w:rPr>
          <w:rtl w:val="0"/>
        </w:rPr>
        <w:t xml:space="preserve">This </w:t>
      </w:r>
      <w:hyperlink r:id="rId6">
        <w:r w:rsidDel="00000000" w:rsidR="00000000" w:rsidRPr="00000000">
          <w:rPr>
            <w:color w:val="1155cc"/>
            <w:u w:val="single"/>
            <w:rtl w:val="0"/>
          </w:rPr>
          <w:t xml:space="preserve">GovTech Hackathon 2026</w:t>
        </w:r>
      </w:hyperlink>
      <w:r w:rsidDel="00000000" w:rsidR="00000000" w:rsidRPr="00000000">
        <w:rPr>
          <w:rtl w:val="0"/>
        </w:rPr>
        <w:t xml:space="preserve"> challenge is a joint initiative in the context of </w:t>
      </w:r>
      <w:hyperlink r:id="rId7">
        <w:r w:rsidDel="00000000" w:rsidR="00000000" w:rsidRPr="00000000">
          <w:rPr>
            <w:color w:val="1155cc"/>
            <w:u w:val="single"/>
            <w:rtl w:val="0"/>
          </w:rPr>
          <w:t xml:space="preserve">HL7 Switzerland</w:t>
        </w:r>
      </w:hyperlink>
      <w:r w:rsidDel="00000000" w:rsidR="00000000" w:rsidRPr="00000000">
        <w:rPr>
          <w:rtl w:val="0"/>
        </w:rPr>
        <w:t xml:space="preserve"> and </w:t>
      </w:r>
      <w:hyperlink r:id="rId8">
        <w:r w:rsidDel="00000000" w:rsidR="00000000" w:rsidRPr="00000000">
          <w:rPr>
            <w:color w:val="1155cc"/>
            <w:u w:val="single"/>
            <w:rtl w:val="0"/>
          </w:rPr>
          <w:t xml:space="preserve">openEHR Switzerland</w:t>
        </w:r>
      </w:hyperlink>
      <w:r w:rsidDel="00000000" w:rsidR="00000000" w:rsidRPr="00000000">
        <w:rPr>
          <w:rtl w:val="0"/>
        </w:rPr>
        <w:t xml:space="preserve">. Its purpose is to demonstrate how FHIR and openEHR can be combined in a practical, standards-based way to support interoperable immunisation data management in the Swiss healthcare ecosystem.</w:t>
      </w:r>
    </w:p>
    <w:p w:rsidR="00000000" w:rsidDel="00000000" w:rsidP="00000000" w:rsidRDefault="00000000" w:rsidRPr="00000000" w14:paraId="00000003">
      <w:pPr>
        <w:spacing w:line="276.00000545454543" w:lineRule="auto"/>
        <w:rPr/>
      </w:pPr>
      <w:r w:rsidDel="00000000" w:rsidR="00000000" w:rsidRPr="00000000">
        <w:rPr>
          <w:rtl w:val="0"/>
        </w:rPr>
        <w:t xml:space="preserve">The showcase is based on a clear division of roles between the two standards. FHIR, based on the official Swiss </w:t>
      </w:r>
      <w:hyperlink r:id="rId9">
        <w:r w:rsidDel="00000000" w:rsidR="00000000" w:rsidRPr="00000000">
          <w:rPr>
            <w:color w:val="1155cc"/>
            <w:u w:val="single"/>
            <w:rtl w:val="0"/>
          </w:rPr>
          <w:t xml:space="preserve">CH VACD specification</w:t>
        </w:r>
      </w:hyperlink>
      <w:r w:rsidDel="00000000" w:rsidR="00000000" w:rsidRPr="00000000">
        <w:rPr>
          <w:rtl w:val="0"/>
        </w:rPr>
        <w:t xml:space="preserve">, is used for standardised data exchange. openEHR is used for persistent, longitudinal and semantically robust clinical data storage. In this way, the showcase aims to demonstrate that the two standards are not competing alternatives, but complementary building blocks for an open digital health platform.</w:t>
      </w:r>
    </w:p>
    <w:p w:rsidR="00000000" w:rsidDel="00000000" w:rsidP="00000000" w:rsidRDefault="00000000" w:rsidRPr="00000000" w14:paraId="00000004">
      <w:pPr>
        <w:spacing w:line="276.00000545454543" w:lineRule="auto"/>
        <w:rPr/>
      </w:pPr>
      <w:r w:rsidDel="00000000" w:rsidR="00000000" w:rsidRPr="00000000">
        <w:rPr>
          <w:rtl w:val="0"/>
        </w:rPr>
        <w:t xml:space="preserve">A central objective is to demonstrate how immunisation data can be modelled in openEHR on the basis of the Swiss CH VACD specification, so that vaccination information can be stored in a durable, clinically meaningful and reusable way. At the same time, the showcase will illustrate how FHIR-based exchange can be maintained to ensure interoperability with external systems and future national services.</w:t>
      </w:r>
    </w:p>
    <w:p w:rsidR="00000000" w:rsidDel="00000000" w:rsidP="00000000" w:rsidRDefault="00000000" w:rsidRPr="00000000" w14:paraId="00000005">
      <w:pPr>
        <w:spacing w:line="276.00000545454543" w:lineRule="auto"/>
        <w:rPr/>
      </w:pPr>
      <w:r w:rsidDel="00000000" w:rsidR="00000000" w:rsidRPr="00000000">
        <w:rPr>
          <w:rtl w:val="0"/>
        </w:rPr>
        <w:t xml:space="preserve">The challenge is also intended to demonstrate the feasibility of this combined approach through a tangible proof of concept (PoC). The PoC is expected to demonstrate end-to-end handling of immunisation data, including standards-compliant exchange and persistent clinical storage.</w:t>
      </w:r>
    </w:p>
    <w:p w:rsidR="00000000" w:rsidDel="00000000" w:rsidP="00000000" w:rsidRDefault="00000000" w:rsidRPr="00000000" w14:paraId="00000006">
      <w:pPr>
        <w:rPr/>
      </w:pPr>
      <w:r w:rsidDel="00000000" w:rsidR="00000000" w:rsidRPr="00000000">
        <w:rPr>
          <w:rtl w:val="0"/>
        </w:rPr>
        <w:t xml:space="preserve">The challenge is supported by several key contributors. Peter Janes, DIDAS Health working group lead serves as the challenge owner, Jean‑Pierre Messerli, one of Switzerland’s leading openEHR modeling experts, is responsible for the clinical and technical modeling of immunization data in openEHR, including appropriate mapping. Roeland Luykx, a HL7 and FHIR expert and chair of HL7 Switzerland, contributes his expertise on FHIR and the CH VACD profiles to ensure standards‑compliant exchange. In addition, Oliver Deak contributes as a technical specialist (tbc), helping to design and implement the technical architecture and PoC components.</w:t>
      </w:r>
    </w:p>
    <w:p w:rsidR="00000000" w:rsidDel="00000000" w:rsidP="00000000" w:rsidRDefault="00000000" w:rsidRPr="00000000" w14:paraId="00000007">
      <w:pPr>
        <w:rPr/>
      </w:pPr>
      <w:r w:rsidDel="00000000" w:rsidR="00000000" w:rsidRPr="00000000">
        <w:rPr>
          <w:rtl w:val="0"/>
        </w:rPr>
        <w:t xml:space="preserve">As planned next steps a showcase in the form of a PoC is targeted for availability in the third quarter of 2026, demonstrating end‑to‑end handling of immunization data using openEHR persistence and FHIR‑based exchange. Following the PoC, the project intends to find investors to fund a productive deployment of the solution. Building on the immunization blueprint, further elements of the International Patient Summary will then be added, extending the approach beyond immunizations to other key clinical domains such as allergies and medication. In a later phase, the solution is planned to be extended to integrate with the «Swiss Health App», enabling citizens to access and manage their immunization and related health data through a user‑friendly digital channel.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hir.ch/ig/ch-vacd/index.html" TargetMode="External"/><Relationship Id="rId5" Type="http://schemas.openxmlformats.org/officeDocument/2006/relationships/styles" Target="styles.xml"/><Relationship Id="rId6" Type="http://schemas.openxmlformats.org/officeDocument/2006/relationships/hyperlink" Target="https://www.bk.admin.ch/bk/de/home/digitale-transformation-ikt-lenkung/bundesarchitektur/api-architektur-bund/govtech-hackathon26.html" TargetMode="External"/><Relationship Id="rId7" Type="http://schemas.openxmlformats.org/officeDocument/2006/relationships/hyperlink" Target="https://www.hl7.ch/" TargetMode="External"/><Relationship Id="rId8" Type="http://schemas.openxmlformats.org/officeDocument/2006/relationships/hyperlink" Target="http://openeh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