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ahoma" w:hAnsi="Tahoma"/>
          <w:sz w:val="32"/>
        </w:rPr>
        <w:t>NexusGen Document Intelligence Hub: Empowering Low-Code Developers</w:t>
      </w:r>
    </w:p>
    <w:p>
      <w:pPr>
        <w:pStyle w:val="Heading1"/>
      </w:pPr>
      <w:r>
        <w:rPr>
          <w:rFonts w:ascii="Tahoma" w:hAnsi="Tahoma"/>
          <w:sz w:val="28"/>
        </w:rPr>
        <w:t>Executive Summary</w:t>
      </w:r>
    </w:p>
    <w:p>
      <w:r>
        <w:rPr>
          <w:rFonts w:ascii="Tahoma" w:hAnsi="Tahoma"/>
          <w:sz w:val="22"/>
        </w:rPr>
        <w:t>NexusGen is an AI-powered platform that transforms document processing for low-code developers. Using Amazon Q CLI agents and AWS Bedrock, it automates requirements analysis, design validation, and documentation generation—reducing manual effort by 90% while maintaining enterprise-quality standards.</w:t>
      </w:r>
    </w:p>
    <w:p>
      <w:pPr>
        <w:pStyle w:val="Heading1"/>
      </w:pPr>
      <w:r>
        <w:rPr>
          <w:rFonts w:ascii="Tahoma" w:hAnsi="Tahoma"/>
          <w:sz w:val="28"/>
        </w:rPr>
        <w:t>Core Capabilities &amp; Value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Feature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Traditional Process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NexusGen Process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Time Savings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Spec Breakdown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4-6 hours manual analysis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3-5 minutes automated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95%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Design Verification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1-2 weeks review cycles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Immediate AI feedback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90%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Design Creation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2-3 days manual documentation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5-10 minutes generation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98%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AI Chat Assistant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Research &amp; consultation time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Instant contextual guidance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80%</w:t>
            </w:r>
          </w:p>
        </w:tc>
      </w:tr>
    </w:tbl>
    <w:p/>
    <w:p>
      <w:pPr>
        <w:pStyle w:val="Heading1"/>
      </w:pPr>
      <w:r>
        <w:rPr>
          <w:rFonts w:ascii="Tahoma" w:hAnsi="Tahoma"/>
          <w:sz w:val="28"/>
        </w:rPr>
        <w:t>Technical Integration Benefits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Component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Low-Code Developer Benefit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Backend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Flask + SQLAlchemy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Familiar Python stack, easy customization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AI Engine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Amazon Q CLI Agents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Enterprise-grade AI without complex setup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Knowledge Base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AWS Bedrock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Contextual recommendations from org patterns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Export Formats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Excel + Word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Business-ready deliverables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Interface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Bootstrap 5 + Dark Theme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Modern, responsive, developer-friendly</w:t>
            </w:r>
          </w:p>
        </w:tc>
      </w:tr>
    </w:tbl>
    <w:p/>
    <w:p>
      <w:pPr>
        <w:pStyle w:val="Heading1"/>
      </w:pPr>
      <w:r>
        <w:rPr>
          <w:rFonts w:ascii="Tahoma" w:hAnsi="Tahoma"/>
          <w:sz w:val="28"/>
        </w:rPr>
        <w:t>Impact Metrics</w:t>
      </w:r>
    </w:p>
    <w:p>
      <w:pPr>
        <w:pStyle w:val="Heading2"/>
      </w:pPr>
      <w:r>
        <w:rPr>
          <w:rFonts w:ascii="Tahoma" w:hAnsi="Tahoma"/>
          <w:sz w:val="24"/>
        </w:rPr>
        <w:t>Time Savings Analysis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Development Phase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Before NexusGen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After NexusGen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Improvement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Requirements Analysis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4-6 hours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5 minutes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95% faster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User Story Creation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1-2 hours per story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Automated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100% faster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Design Documentation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2-3 days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10 minutes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98% faster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Design Review Cycles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1-2 weeks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Immediate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90% faster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Overall Project Delivery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Baseline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40-60% faster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Significant acceleration</w:t>
            </w:r>
          </w:p>
        </w:tc>
      </w:tr>
    </w:tbl>
    <w:p/>
    <w:p>
      <w:pPr>
        <w:pStyle w:val="Heading2"/>
      </w:pPr>
      <w:r>
        <w:rPr>
          <w:rFonts w:ascii="Tahoma" w:hAnsi="Tahoma"/>
          <w:sz w:val="24"/>
        </w:rPr>
        <w:t>Quality Improvements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Quality Metric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Manual Process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NexusGen Process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Consistency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Variable, depends on reviewer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Standardized AI analysis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Completeness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Often missed components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Systematic gap identification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Best Practices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Inconsistent application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Automatic pattern matching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Documentation Standards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Manual formatting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Professional auto-generation</w:t>
            </w:r>
          </w:p>
        </w:tc>
      </w:tr>
    </w:tbl>
    <w:p/>
    <w:p>
      <w:pPr>
        <w:pStyle w:val="Heading1"/>
      </w:pPr>
      <w:r>
        <w:rPr>
          <w:rFonts w:ascii="Tahoma" w:hAnsi="Tahoma"/>
          <w:sz w:val="28"/>
        </w:rPr>
        <w:t>Feature Comparison Matrix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Capability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Manual Approach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Generic AI Tools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NexusGen Advantage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Context Awareness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Limited to individual knowledge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No organizational context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Bedrock KB with org patterns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Output Format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Inconsistent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Generic text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Structured JSON + Professional exports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Integration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Manual copy-paste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API calls required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Native AWS ecosystem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Learning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Static knowledge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No organizational learning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Continuous KB improvement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Scalability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Linear with team size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Per-request costs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Enterprise-grade scaling</w:t>
            </w:r>
          </w:p>
        </w:tc>
      </w:tr>
    </w:tbl>
    <w:p/>
    <w:p>
      <w:pPr>
        <w:pStyle w:val="Heading1"/>
      </w:pPr>
      <w:r>
        <w:rPr>
          <w:rFonts w:ascii="Tahoma" w:hAnsi="Tahoma"/>
          <w:sz w:val="28"/>
        </w:rPr>
        <w:t>ROI Analysis for Low-Code Teams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Team Size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Monthly Time Saved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Cost Savings (@ $75/hr)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b/>
                <w:sz w:val="20"/>
              </w:rPr>
              <w:t>Annual ROI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5 developers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120 hours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$9,000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$108,000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10 developers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240 hours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$18,000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$216,000</w:t>
            </w:r>
          </w:p>
        </w:tc>
      </w:tr>
      <w:tr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20 developers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480 hours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$36,000</w:t>
            </w:r>
          </w:p>
        </w:tc>
        <w:tc>
          <w:tcPr>
            <w:tcW w:type="dxa" w:w="2160"/>
          </w:tcPr>
          <w:p>
            <w:r>
              <w:rPr>
                <w:rFonts w:ascii="Tahoma" w:hAnsi="Tahoma"/>
                <w:sz w:val="18"/>
              </w:rPr>
              <w:t>$432,000</w:t>
            </w:r>
          </w:p>
        </w:tc>
      </w:tr>
    </w:tbl>
    <w:p>
      <w:r>
        <w:rPr>
          <w:rFonts w:ascii="Tahoma" w:hAnsi="Tahoma"/>
          <w:sz w:val="22"/>
        </w:rPr>
        <w:t>*Based on average 24 hours/month saved per developer</w:t>
      </w:r>
    </w:p>
    <w:p/>
    <w:p>
      <w:pPr>
        <w:pStyle w:val="Heading1"/>
      </w:pPr>
      <w:r>
        <w:rPr>
          <w:rFonts w:ascii="Tahoma" w:hAnsi="Tahoma"/>
          <w:sz w:val="28"/>
        </w:rPr>
        <w:t>Architecture &amp; Scalability</w:t>
      </w:r>
    </w:p>
    <w:p>
      <w:pPr>
        <w:pStyle w:val="Heading2"/>
      </w:pPr>
      <w:r>
        <w:rPr>
          <w:rFonts w:ascii="Tahoma" w:hAnsi="Tahoma"/>
          <w:sz w:val="24"/>
        </w:rPr>
        <w:t>System Components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Layer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Scalability Feature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Frontend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Bootstrap 5 + JavaScript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Responsive, mobile-ready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API Layer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Flask Controllers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RESTful, integration-ready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Business Logic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Python Services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Modular, extensible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AI Processing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Q CLI Agents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AWS-managed scaling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Data Storage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SQLite/PostgreSQL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Configurable for growth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File Processing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Multi-format support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PDF, DOCX, TXT, MD</w:t>
            </w:r>
          </w:p>
        </w:tc>
      </w:tr>
    </w:tbl>
    <w:p/>
    <w:p>
      <w:pPr>
        <w:pStyle w:val="Heading2"/>
      </w:pPr>
      <w:r>
        <w:rPr>
          <w:rFonts w:ascii="Tahoma" w:hAnsi="Tahoma"/>
          <w:sz w:val="24"/>
        </w:rPr>
        <w:t>Integration Capabilities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Integration Type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Supported Formats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Use Case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Input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PDF, DOCX, TXT, MD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Specification documents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Output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JSON, Excel, Word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Development artifacts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API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RESTful endpoints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Low-code platform integration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Webhooks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Real-time notifications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Workflow automation</w:t>
            </w:r>
          </w:p>
        </w:tc>
      </w:tr>
    </w:tbl>
    <w:p/>
    <w:p>
      <w:pPr>
        <w:pStyle w:val="Heading1"/>
      </w:pPr>
      <w:r>
        <w:rPr>
          <w:rFonts w:ascii="Tahoma" w:hAnsi="Tahoma"/>
          <w:sz w:val="28"/>
        </w:rPr>
        <w:t>Strategic Impact</w:t>
      </w:r>
    </w:p>
    <w:p>
      <w:pPr>
        <w:pStyle w:val="Heading2"/>
      </w:pPr>
      <w:r>
        <w:rPr>
          <w:rFonts w:ascii="Tahoma" w:hAnsi="Tahoma"/>
          <w:sz w:val="24"/>
        </w:rPr>
        <w:t>Developer Empowerment</w:t>
      </w:r>
    </w:p>
    <w:p>
      <w:r>
        <w:rPr>
          <w:rFonts w:ascii="Tahoma" w:hAnsi="Tahoma"/>
          <w:sz w:val="22"/>
        </w:rPr>
        <w:t>• Junior developers produce architect-quality deliverables</w:t>
      </w:r>
    </w:p>
    <w:p>
      <w:r>
        <w:rPr>
          <w:rFonts w:ascii="Tahoma" w:hAnsi="Tahoma"/>
          <w:sz w:val="22"/>
        </w:rPr>
        <w:t>• Senior developers focus on complex problem-solving</w:t>
      </w:r>
    </w:p>
    <w:p>
      <w:r>
        <w:rPr>
          <w:rFonts w:ascii="Tahoma" w:hAnsi="Tahoma"/>
          <w:sz w:val="22"/>
        </w:rPr>
        <w:t>• Teams maintain consistent quality across projects</w:t>
      </w:r>
    </w:p>
    <w:p>
      <w:r>
        <w:rPr>
          <w:rFonts w:ascii="Tahoma" w:hAnsi="Tahoma"/>
          <w:sz w:val="22"/>
        </w:rPr>
        <w:t>• Organizations scale development without proportional architect hiring</w:t>
      </w:r>
    </w:p>
    <w:p>
      <w:pPr>
        <w:pStyle w:val="Heading2"/>
      </w:pPr>
      <w:r>
        <w:rPr>
          <w:rFonts w:ascii="Tahoma" w:hAnsi="Tahoma"/>
          <w:sz w:val="24"/>
        </w:rPr>
        <w:t>Business Benefits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Tahoma" w:hAnsi="Tahoma"/>
                <w:b/>
                <w:sz w:val="20"/>
              </w:rPr>
              <w:t>Benefit Category</w:t>
            </w:r>
          </w:p>
        </w:tc>
        <w:tc>
          <w:tcPr>
            <w:tcW w:type="dxa" w:w="4320"/>
          </w:tcPr>
          <w:p>
            <w:r>
              <w:rPr>
                <w:rFonts w:ascii="Tahoma" w:hAnsi="Tahoma"/>
                <w:b/>
                <w:sz w:val="20"/>
              </w:rPr>
              <w:t>Impact</w:t>
            </w:r>
          </w:p>
        </w:tc>
      </w:tr>
      <w:tr>
        <w:tc>
          <w:tcPr>
            <w:tcW w:type="dxa" w:w="4320"/>
          </w:tcPr>
          <w:p>
            <w:r>
              <w:rPr>
                <w:rFonts w:ascii="Tahoma" w:hAnsi="Tahoma"/>
                <w:sz w:val="18"/>
              </w:rPr>
              <w:t>Time-to-Market</w:t>
            </w:r>
          </w:p>
        </w:tc>
        <w:tc>
          <w:tcPr>
            <w:tcW w:type="dxa" w:w="4320"/>
          </w:tcPr>
          <w:p>
            <w:r>
              <w:rPr>
                <w:rFonts w:ascii="Tahoma" w:hAnsi="Tahoma"/>
                <w:sz w:val="18"/>
              </w:rPr>
              <w:t>40-60% faster project delivery</w:t>
            </w:r>
          </w:p>
        </w:tc>
      </w:tr>
      <w:tr>
        <w:tc>
          <w:tcPr>
            <w:tcW w:type="dxa" w:w="4320"/>
          </w:tcPr>
          <w:p>
            <w:r>
              <w:rPr>
                <w:rFonts w:ascii="Tahoma" w:hAnsi="Tahoma"/>
                <w:sz w:val="18"/>
              </w:rPr>
              <w:t>Quality Assurance</w:t>
            </w:r>
          </w:p>
        </w:tc>
        <w:tc>
          <w:tcPr>
            <w:tcW w:type="dxa" w:w="4320"/>
          </w:tcPr>
          <w:p>
            <w:r>
              <w:rPr>
                <w:rFonts w:ascii="Tahoma" w:hAnsi="Tahoma"/>
                <w:sz w:val="18"/>
              </w:rPr>
              <w:t>Consistent, AI-validated designs</w:t>
            </w:r>
          </w:p>
        </w:tc>
      </w:tr>
      <w:tr>
        <w:tc>
          <w:tcPr>
            <w:tcW w:type="dxa" w:w="4320"/>
          </w:tcPr>
          <w:p>
            <w:r>
              <w:rPr>
                <w:rFonts w:ascii="Tahoma" w:hAnsi="Tahoma"/>
                <w:sz w:val="18"/>
              </w:rPr>
              <w:t>Cost Reduction</w:t>
            </w:r>
          </w:p>
        </w:tc>
        <w:tc>
          <w:tcPr>
            <w:tcW w:type="dxa" w:w="4320"/>
          </w:tcPr>
          <w:p>
            <w:r>
              <w:rPr>
                <w:rFonts w:ascii="Tahoma" w:hAnsi="Tahoma"/>
                <w:sz w:val="18"/>
              </w:rPr>
              <w:t>90% less manual documentation effort</w:t>
            </w:r>
          </w:p>
        </w:tc>
      </w:tr>
      <w:tr>
        <w:tc>
          <w:tcPr>
            <w:tcW w:type="dxa" w:w="4320"/>
          </w:tcPr>
          <w:p>
            <w:r>
              <w:rPr>
                <w:rFonts w:ascii="Tahoma" w:hAnsi="Tahoma"/>
                <w:sz w:val="18"/>
              </w:rPr>
              <w:t>Scalability</w:t>
            </w:r>
          </w:p>
        </w:tc>
        <w:tc>
          <w:tcPr>
            <w:tcW w:type="dxa" w:w="4320"/>
          </w:tcPr>
          <w:p>
            <w:r>
              <w:rPr>
                <w:rFonts w:ascii="Tahoma" w:hAnsi="Tahoma"/>
                <w:sz w:val="18"/>
              </w:rPr>
              <w:t>Linear team growth without quality degradation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Tahoma" w:hAnsi="Tahoma"/>
                <w:sz w:val="18"/>
              </w:rPr>
              <w:t>Knowledge Retention</w:t>
            </w:r>
          </w:p>
        </w:tc>
        <w:tc>
          <w:tcPr>
            <w:tcW w:type="dxa" w:w="4320"/>
          </w:tcPr>
          <w:p>
            <w:r>
              <w:rPr>
                <w:rFonts w:ascii="Tahoma" w:hAnsi="Tahoma"/>
                <w:sz w:val="18"/>
              </w:rPr>
              <w:t>Organizational patterns preserved in KB</w:t>
            </w:r>
          </w:p>
        </w:tc>
      </w:tr>
    </w:tbl>
    <w:p/>
    <w:p>
      <w:pPr>
        <w:pStyle w:val="Heading1"/>
      </w:pPr>
      <w:r>
        <w:rPr>
          <w:rFonts w:ascii="Tahoma" w:hAnsi="Tahoma"/>
          <w:sz w:val="28"/>
        </w:rPr>
        <w:t>Implementation Readiness</w:t>
      </w:r>
    </w:p>
    <w:p>
      <w:pPr>
        <w:pStyle w:val="Heading2"/>
      </w:pPr>
      <w:r>
        <w:rPr>
          <w:rFonts w:ascii="Tahoma" w:hAnsi="Tahoma"/>
          <w:sz w:val="24"/>
        </w:rPr>
        <w:t>Quick Start Metrics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Setup Phase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Time Required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Complexity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Installation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15 minutes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Low - Python + pip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AWS Configuration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10 minutes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Medium - Bedrock setup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First Document Processing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2 minutes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Low - Drag &amp; drop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Team Onboarding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30 minutes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Low - Intuitive interface</w:t>
            </w:r>
          </w:p>
        </w:tc>
      </w:tr>
    </w:tbl>
    <w:p/>
    <w:p>
      <w:pPr>
        <w:pStyle w:val="Heading2"/>
      </w:pPr>
      <w:r>
        <w:rPr>
          <w:rFonts w:ascii="Tahoma" w:hAnsi="Tahoma"/>
          <w:sz w:val="24"/>
        </w:rPr>
        <w:t>Deployment Options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Environment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Setup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b/>
                <w:sz w:val="20"/>
              </w:rPr>
              <w:t>Scalability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Local Development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Python + SQLite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Single developer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Team Deployment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Gunicorn + PostgreSQL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5-20 developers</w:t>
            </w:r>
          </w:p>
        </w:tc>
      </w:tr>
      <w:tr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Enterprise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Docker + AWS RDS</w:t>
            </w:r>
          </w:p>
        </w:tc>
        <w:tc>
          <w:tcPr>
            <w:tcW w:type="dxa" w:w="2880"/>
          </w:tcPr>
          <w:p>
            <w:r>
              <w:rPr>
                <w:rFonts w:ascii="Tahoma" w:hAnsi="Tahoma"/>
                <w:sz w:val="18"/>
              </w:rPr>
              <w:t>Unlimited scaling</w:t>
            </w:r>
          </w:p>
        </w:tc>
      </w:tr>
    </w:tbl>
    <w:p/>
    <w:p>
      <w:pPr>
        <w:pStyle w:val="Heading1"/>
      </w:pPr>
      <w:r>
        <w:rPr>
          <w:rFonts w:ascii="Tahoma" w:hAnsi="Tahoma"/>
          <w:sz w:val="28"/>
        </w:rPr>
        <w:t>Conclusion</w:t>
      </w:r>
    </w:p>
    <w:p>
      <w:r>
        <w:rPr>
          <w:rFonts w:ascii="Tahoma" w:hAnsi="Tahoma"/>
          <w:sz w:val="22"/>
        </w:rPr>
        <w:t>NexusGen transforms low-code development by automating the most time-consuming aspects of software design while maintaining enterprise quality standards. With 90%+ time savings in document processing and AI-powered quality assurance, it's essential infrastructure for scaling low-code teams.</w:t>
      </w:r>
    </w:p>
    <w:p/>
    <w:p>
      <w:r>
        <w:rPr>
          <w:rFonts w:ascii="Tahoma" w:hAnsi="Tahoma"/>
          <w:b/>
          <w:sz w:val="22"/>
        </w:rPr>
        <w:t xml:space="preserve">Key Value Proposition: </w:t>
      </w:r>
      <w:r>
        <w:rPr>
          <w:rFonts w:ascii="Tahoma" w:hAnsi="Tahoma"/>
          <w:sz w:val="22"/>
        </w:rPr>
        <w:t>Enable low-code developers to deliver architect-quality work at developer speed, accelerating project delivery by 40-60% while building organizational knowledge assets.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