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52E33" w14:textId="77777777" w:rsidR="00C36EBA" w:rsidRPr="00032CA6" w:rsidRDefault="00C36EBA" w:rsidP="00C36E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2CA6">
        <w:rPr>
          <w:rFonts w:ascii="Times New Roman" w:hAnsi="Times New Roman" w:cs="Times New Roman"/>
          <w:b/>
          <w:bCs/>
          <w:sz w:val="28"/>
          <w:szCs w:val="28"/>
        </w:rPr>
        <w:t>Executive Summary</w:t>
      </w:r>
    </w:p>
    <w:p w14:paraId="04FA1ABF" w14:textId="77777777" w:rsidR="00C36EBA" w:rsidRDefault="00C36EBA" w:rsidP="00C36EBA">
      <w:pPr>
        <w:rPr>
          <w:rFonts w:ascii="Times New Roman" w:hAnsi="Times New Roman" w:cs="Times New Roman"/>
          <w:sz w:val="24"/>
          <w:szCs w:val="24"/>
        </w:rPr>
      </w:pPr>
      <w:r w:rsidRPr="00032CA6">
        <w:rPr>
          <w:rFonts w:ascii="Times New Roman" w:hAnsi="Times New Roman" w:cs="Times New Roman"/>
          <w:sz w:val="24"/>
          <w:szCs w:val="24"/>
        </w:rPr>
        <w:t>This study analyses customer engagement and product utilization patterns to understand their impact on customer retention within a European banking dataset of 10,000 customers. The overall churn rate stands at 20.37%, indicating that approximately one in five customers exits the bank.</w:t>
      </w:r>
    </w:p>
    <w:p w14:paraId="09E0B80E" w14:textId="77777777" w:rsidR="00C36EBA" w:rsidRPr="00032CA6" w:rsidRDefault="00C36EBA" w:rsidP="00C36EBA">
      <w:pPr>
        <w:rPr>
          <w:rFonts w:ascii="Times New Roman" w:hAnsi="Times New Roman" w:cs="Times New Roman"/>
          <w:sz w:val="24"/>
          <w:szCs w:val="24"/>
        </w:rPr>
      </w:pPr>
    </w:p>
    <w:p w14:paraId="0D019A13" w14:textId="77777777" w:rsidR="00C36EBA" w:rsidRPr="00032CA6" w:rsidRDefault="00C36EBA" w:rsidP="00C36E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2CA6">
        <w:rPr>
          <w:rFonts w:ascii="Times New Roman" w:hAnsi="Times New Roman" w:cs="Times New Roman"/>
          <w:b/>
          <w:bCs/>
          <w:sz w:val="28"/>
          <w:szCs w:val="28"/>
        </w:rPr>
        <w:t>Key Findings</w:t>
      </w:r>
    </w:p>
    <w:p w14:paraId="11808C18" w14:textId="77777777" w:rsidR="00C36EBA" w:rsidRPr="00032CA6" w:rsidRDefault="00C36EBA" w:rsidP="00C36E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2CA6">
        <w:rPr>
          <w:rFonts w:ascii="Times New Roman" w:hAnsi="Times New Roman" w:cs="Times New Roman"/>
          <w:b/>
          <w:bCs/>
          <w:sz w:val="24"/>
          <w:szCs w:val="24"/>
        </w:rPr>
        <w:t>Engagement as a Primary Retention Driver</w:t>
      </w:r>
      <w:r w:rsidRPr="00032CA6">
        <w:rPr>
          <w:rFonts w:ascii="Times New Roman" w:hAnsi="Times New Roman" w:cs="Times New Roman"/>
          <w:sz w:val="24"/>
          <w:szCs w:val="24"/>
        </w:rPr>
        <w:br/>
        <w:t>Inactive customers exhibit a churn rate of 26.85%, compared to 14.27% for active customers. This demonstrates that behavioural engagement significantly influences retention outcomes.</w:t>
      </w:r>
    </w:p>
    <w:p w14:paraId="0B8B293F" w14:textId="77777777" w:rsidR="00C36EBA" w:rsidRPr="00032CA6" w:rsidRDefault="00C36EBA" w:rsidP="00C36E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2CA6">
        <w:rPr>
          <w:rFonts w:ascii="Times New Roman" w:hAnsi="Times New Roman" w:cs="Times New Roman"/>
          <w:b/>
          <w:bCs/>
          <w:sz w:val="24"/>
          <w:szCs w:val="24"/>
        </w:rPr>
        <w:t>Optimal Product Depth Improves Stability</w:t>
      </w:r>
      <w:r w:rsidRPr="00032CA6">
        <w:rPr>
          <w:rFonts w:ascii="Times New Roman" w:hAnsi="Times New Roman" w:cs="Times New Roman"/>
          <w:sz w:val="24"/>
          <w:szCs w:val="24"/>
        </w:rPr>
        <w:br/>
        <w:t>Customers holding two products demonstrate the lowest churn rate (approximately 8%). However, customers with three or more products show disproportionately high churn rates, suggesting potential over-bundling or product misalignment.</w:t>
      </w:r>
    </w:p>
    <w:p w14:paraId="74BA1606" w14:textId="77777777" w:rsidR="00C36EBA" w:rsidRPr="00032CA6" w:rsidRDefault="00C36EBA" w:rsidP="00C36E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2CA6">
        <w:rPr>
          <w:rFonts w:ascii="Times New Roman" w:hAnsi="Times New Roman" w:cs="Times New Roman"/>
          <w:b/>
          <w:bCs/>
          <w:sz w:val="24"/>
          <w:szCs w:val="24"/>
        </w:rPr>
        <w:t>Financial Value Alone Does Not Ensure Loyalty</w:t>
      </w:r>
      <w:r w:rsidRPr="00032CA6">
        <w:rPr>
          <w:rFonts w:ascii="Times New Roman" w:hAnsi="Times New Roman" w:cs="Times New Roman"/>
          <w:sz w:val="24"/>
          <w:szCs w:val="24"/>
        </w:rPr>
        <w:br/>
        <w:t>Premium customers (top 25% by balance) show a churn rate of 23.68%, exceeding the overall churn rate. Furthermore, inactive premium customers churn at 30.47%, highlighting the elevated risk associated with disengaged high-value customers.</w:t>
      </w:r>
    </w:p>
    <w:p w14:paraId="21EBD09A" w14:textId="77777777" w:rsidR="00C36EBA" w:rsidRPr="00032CA6" w:rsidRDefault="00C36EBA" w:rsidP="00C36E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2CA6">
        <w:rPr>
          <w:rFonts w:ascii="Times New Roman" w:hAnsi="Times New Roman" w:cs="Times New Roman"/>
          <w:b/>
          <w:bCs/>
          <w:sz w:val="24"/>
          <w:szCs w:val="24"/>
        </w:rPr>
        <w:t>Silent Premium Risk Segment Identified</w:t>
      </w:r>
      <w:r w:rsidRPr="00032CA6">
        <w:rPr>
          <w:rFonts w:ascii="Times New Roman" w:hAnsi="Times New Roman" w:cs="Times New Roman"/>
          <w:sz w:val="24"/>
          <w:szCs w:val="24"/>
        </w:rPr>
        <w:br/>
        <w:t>Nearly 49.88% of premium customers are inactive, representing a significant engagement gap within the bank’s most financially valuable segment.</w:t>
      </w:r>
    </w:p>
    <w:p w14:paraId="6EAE777D" w14:textId="77777777" w:rsidR="00C36EBA" w:rsidRDefault="00C36EBA" w:rsidP="00C36E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2CA6">
        <w:rPr>
          <w:rFonts w:ascii="Times New Roman" w:hAnsi="Times New Roman" w:cs="Times New Roman"/>
          <w:b/>
          <w:bCs/>
          <w:sz w:val="24"/>
          <w:szCs w:val="24"/>
        </w:rPr>
        <w:t>Relationship Strength Index Validation</w:t>
      </w:r>
      <w:r w:rsidRPr="00032CA6">
        <w:rPr>
          <w:rFonts w:ascii="Times New Roman" w:hAnsi="Times New Roman" w:cs="Times New Roman"/>
          <w:sz w:val="24"/>
          <w:szCs w:val="24"/>
        </w:rPr>
        <w:br/>
        <w:t>A composite Relationship Strength Index (RSI) combining engagement, product depth, and credit card ownership reveals that “sticky” customers (RSI ≥ 4) churn at 15.40%, compared to 24.44% for non-sticky customers.</w:t>
      </w:r>
    </w:p>
    <w:p w14:paraId="362AE48E" w14:textId="77777777" w:rsidR="00C36EBA" w:rsidRPr="00032CA6" w:rsidRDefault="00C36EBA" w:rsidP="00C36EBA">
      <w:pPr>
        <w:rPr>
          <w:rFonts w:ascii="Times New Roman" w:hAnsi="Times New Roman" w:cs="Times New Roman"/>
          <w:sz w:val="24"/>
          <w:szCs w:val="24"/>
        </w:rPr>
      </w:pPr>
    </w:p>
    <w:p w14:paraId="268EF607" w14:textId="77777777" w:rsidR="00C36EBA" w:rsidRPr="00032CA6" w:rsidRDefault="00C36EBA" w:rsidP="00C36E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2CA6">
        <w:rPr>
          <w:rFonts w:ascii="Times New Roman" w:hAnsi="Times New Roman" w:cs="Times New Roman"/>
          <w:b/>
          <w:bCs/>
          <w:sz w:val="28"/>
          <w:szCs w:val="28"/>
        </w:rPr>
        <w:t>Strategic Implications</w:t>
      </w:r>
    </w:p>
    <w:p w14:paraId="5581273C" w14:textId="77777777" w:rsidR="00C36EBA" w:rsidRPr="00032CA6" w:rsidRDefault="00C36EBA" w:rsidP="00C36EBA">
      <w:pPr>
        <w:rPr>
          <w:rFonts w:ascii="Times New Roman" w:hAnsi="Times New Roman" w:cs="Times New Roman"/>
          <w:sz w:val="24"/>
          <w:szCs w:val="24"/>
        </w:rPr>
      </w:pPr>
      <w:r w:rsidRPr="00032CA6">
        <w:rPr>
          <w:rFonts w:ascii="Times New Roman" w:hAnsi="Times New Roman" w:cs="Times New Roman"/>
          <w:sz w:val="24"/>
          <w:szCs w:val="24"/>
        </w:rPr>
        <w:t>The findings confirm that engagement and optimal product depth are stronger predictors of retention than financial indicators alone. Retention strategies should prioritize:</w:t>
      </w:r>
    </w:p>
    <w:p w14:paraId="56CB0795" w14:textId="77777777" w:rsidR="00C36EBA" w:rsidRPr="00032CA6" w:rsidRDefault="00C36EBA" w:rsidP="00C36E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2CA6">
        <w:rPr>
          <w:rFonts w:ascii="Times New Roman" w:hAnsi="Times New Roman" w:cs="Times New Roman"/>
          <w:sz w:val="24"/>
          <w:szCs w:val="24"/>
        </w:rPr>
        <w:t>Re-engagement of inactive customers</w:t>
      </w:r>
    </w:p>
    <w:p w14:paraId="45EEB05A" w14:textId="77777777" w:rsidR="00C36EBA" w:rsidRPr="00032CA6" w:rsidRDefault="00C36EBA" w:rsidP="00C36E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2CA6">
        <w:rPr>
          <w:rFonts w:ascii="Times New Roman" w:hAnsi="Times New Roman" w:cs="Times New Roman"/>
          <w:sz w:val="24"/>
          <w:szCs w:val="24"/>
        </w:rPr>
        <w:t>Targeted protection of high-balance inactive customers</w:t>
      </w:r>
    </w:p>
    <w:p w14:paraId="70F042A3" w14:textId="77777777" w:rsidR="00C36EBA" w:rsidRPr="00032CA6" w:rsidRDefault="00C36EBA" w:rsidP="00C36E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2CA6">
        <w:rPr>
          <w:rFonts w:ascii="Times New Roman" w:hAnsi="Times New Roman" w:cs="Times New Roman"/>
          <w:sz w:val="24"/>
          <w:szCs w:val="24"/>
        </w:rPr>
        <w:t>Promotion of optimal product bundling (two-product model)</w:t>
      </w:r>
    </w:p>
    <w:p w14:paraId="4C394E2A" w14:textId="77777777" w:rsidR="00C36EBA" w:rsidRPr="00032CA6" w:rsidRDefault="00C36EBA" w:rsidP="00C36E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2CA6">
        <w:rPr>
          <w:rFonts w:ascii="Times New Roman" w:hAnsi="Times New Roman" w:cs="Times New Roman"/>
          <w:sz w:val="24"/>
          <w:szCs w:val="24"/>
        </w:rPr>
        <w:t>Deployment of relationship-strength scoring for early churn detection</w:t>
      </w:r>
    </w:p>
    <w:p w14:paraId="4D789146" w14:textId="77777777" w:rsidR="00C36EBA" w:rsidRPr="00032CA6" w:rsidRDefault="00C36EBA" w:rsidP="00C36EBA">
      <w:pPr>
        <w:rPr>
          <w:rFonts w:ascii="Times New Roman" w:hAnsi="Times New Roman" w:cs="Times New Roman"/>
          <w:sz w:val="24"/>
          <w:szCs w:val="24"/>
        </w:rPr>
      </w:pPr>
      <w:r w:rsidRPr="00032CA6">
        <w:rPr>
          <w:rFonts w:ascii="Times New Roman" w:hAnsi="Times New Roman" w:cs="Times New Roman"/>
          <w:sz w:val="24"/>
          <w:szCs w:val="24"/>
        </w:rPr>
        <w:t>Implementing engagement-driven retention frameworks can significantly reduce churn while protecting high-value customer segments.</w:t>
      </w:r>
    </w:p>
    <w:p w14:paraId="2CA49BFD" w14:textId="77777777" w:rsidR="00E05416" w:rsidRDefault="00E05416"/>
    <w:sectPr w:rsidR="00E05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0288"/>
    <w:multiLevelType w:val="hybridMultilevel"/>
    <w:tmpl w:val="33F6C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0959B3"/>
    <w:multiLevelType w:val="hybridMultilevel"/>
    <w:tmpl w:val="BE706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001709">
    <w:abstractNumId w:val="0"/>
  </w:num>
  <w:num w:numId="2" w16cid:durableId="1418012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EBA"/>
    <w:rsid w:val="001B5905"/>
    <w:rsid w:val="00681664"/>
    <w:rsid w:val="00C36EBA"/>
    <w:rsid w:val="00E05416"/>
    <w:rsid w:val="00FB2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D91F5"/>
  <w15:chartTrackingRefBased/>
  <w15:docId w15:val="{10B711FA-B2CD-40BE-9B43-A6340EDF9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EBA"/>
  </w:style>
  <w:style w:type="paragraph" w:styleId="Heading1">
    <w:name w:val="heading 1"/>
    <w:basedOn w:val="Normal"/>
    <w:next w:val="Normal"/>
    <w:link w:val="Heading1Char"/>
    <w:uiPriority w:val="9"/>
    <w:qFormat/>
    <w:rsid w:val="00C36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E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E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E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E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Nakrani</dc:creator>
  <cp:keywords/>
  <dc:description/>
  <cp:lastModifiedBy>Ram Nakrani</cp:lastModifiedBy>
  <cp:revision>1</cp:revision>
  <dcterms:created xsi:type="dcterms:W3CDTF">2026-02-28T10:46:00Z</dcterms:created>
  <dcterms:modified xsi:type="dcterms:W3CDTF">2026-02-28T10:48:00Z</dcterms:modified>
</cp:coreProperties>
</file>