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dani Regular" w:hAnsi="Adani Regular" w:eastAsia="Adani Regular" w:cs="Adani Regular"/>
          <w:b/>
          <w:sz w:val="22"/>
          <w:u w:val="single"/>
        </w:rPr>
        <w:t>TRANSACTION COST SHEET</w:t>
      </w:r>
    </w:p>
    <w:p>
      <w:pPr>
        <w:jc w:val="center"/>
      </w:pPr>
      <w:r>
        <w:rPr>
          <w:rFonts w:ascii="Adani Regular" w:hAnsi="Adani Regular" w:eastAsia="Adani Regular" w:cs="Adani Regular"/>
          <w:b w:val="0"/>
          <w:i/>
          <w:sz w:val="16"/>
        </w:rPr>
        <w:t>Internal Review Only - Cost &amp; Margin Analysis</w:t>
      </w:r>
    </w:p>
    <w:p>
      <w:pPr>
        <w:tabs>
          <w:tab w:pos="9180" w:val="right"/>
        </w:tabs>
      </w:pPr>
      <w:r>
        <w:rPr>
          <w:rFonts w:ascii="Adani Regular" w:hAnsi="Adani Regular" w:eastAsia="Adani Regular" w:cs="Adani Regular"/>
          <w:b/>
          <w:i w:val="0"/>
          <w:sz w:val="20"/>
        </w:rPr>
        <w:t>{{batch_number}}</w:t>
      </w:r>
      <w:r>
        <w:tab/>
      </w:r>
      <w:r>
        <w:rPr>
          <w:rFonts w:ascii="Adani Regular" w:hAnsi="Adani Regular" w:eastAsia="Adani Regular" w:cs="Adani Regular"/>
          <w:b w:val="0"/>
          <w:i w:val="0"/>
          <w:sz w:val="20"/>
        </w:rPr>
        <w:t xml:space="preserve">DATE: </w:t>
      </w:r>
      <w:r>
        <w:rPr>
          <w:rFonts w:ascii="Adani Regular" w:hAnsi="Adani Regular" w:eastAsia="Adani Regular" w:cs="Adani Regular"/>
          <w:b/>
          <w:i w:val="0"/>
          <w:sz w:val="20"/>
        </w:rPr>
        <w:t>{{date}}</w:t>
      </w:r>
    </w:p>
    <w:p/>
    <w:p>
      <w:pPr>
        <w:spacing w:after="0"/>
      </w:pPr>
      <w:r>
        <w:rPr>
          <w:rFonts w:ascii="Adani Regular" w:hAnsi="Adani Regular" w:eastAsia="Adani Regular" w:cs="Adani Regular"/>
          <w:b/>
          <w:i w:val="0"/>
          <w:sz w:val="18"/>
        </w:rPr>
        <w:t>{{supplier}}</w:t>
      </w:r>
    </w:p>
    <w:p/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COMMODITY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{{commodity}}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TRADE GRADE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{{commodity_code}}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QUANTITY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{{quantity}}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PURCHASE RATE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{{purchase_rate}}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PURCHASE COST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{{purchase_value}}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LOGISTICS ALLOWANCE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{{freight_and_logistics}}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FINANCE &amp; BANK CHARGES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{{financing_and_charges}}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TOTAL LANDED COST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{{total_cost}}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CURRENCY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INVOICE BASIS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{{invoice_basis}}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PORT OF LOADING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{{port_of_loading}}</w:t>
      </w:r>
    </w:p>
    <w:p/>
    <w:p>
      <w:pPr>
        <w:spacing w:after="0"/>
      </w:pPr>
      <w:r>
        <w:t>[[clause:deal_summary]]</w:t>
      </w:r>
      <w:r>
        <w:rPr>
          <w:rFonts w:ascii="Adani Regular" w:hAnsi="Adani Regular" w:eastAsia="Adani Regular" w:cs="Adani Regular"/>
          <w:b/>
          <w:sz w:val="18"/>
        </w:rPr>
        <w:t>1. TRANSACTION AND CARGO SUMMARY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Cost estimation for batch </w:t>
      </w:r>
      <w:r>
        <w:rPr>
          <w:rFonts w:ascii="Adani Regular" w:hAnsi="Adani Regular" w:eastAsia="Adani Regular" w:cs="Adani Regular"/>
          <w:b/>
          <w:i w:val="0"/>
          <w:sz w:val="18"/>
        </w:rPr>
        <w:t>{{batch_number}}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. Commodity: </w:t>
      </w:r>
      <w:r>
        <w:rPr>
          <w:rFonts w:ascii="Adani Regular" w:hAnsi="Adani Regular" w:eastAsia="Adani Regular" w:cs="Adani Regular"/>
          <w:b/>
          <w:i w:val="0"/>
          <w:sz w:val="18"/>
        </w:rPr>
        <w:t>{{commodity}}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(</w:t>
      </w:r>
      <w:r>
        <w:rPr>
          <w:rFonts w:ascii="Adani Regular" w:hAnsi="Adani Regular" w:eastAsia="Adani Regular" w:cs="Adani Regular"/>
          <w:b/>
          <w:i w:val="0"/>
          <w:sz w:val="18"/>
        </w:rPr>
        <w:t>{{commodity_code}}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), quantity: </w:t>
      </w:r>
      <w:r>
        <w:rPr>
          <w:rFonts w:ascii="Adani Regular" w:hAnsi="Adani Regular" w:eastAsia="Adani Regular" w:cs="Adani Regular"/>
          <w:b/>
          <w:i w:val="0"/>
          <w:sz w:val="18"/>
        </w:rPr>
        <w:t>{{quantity}}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. Supplier: </w:t>
      </w:r>
      <w:r>
        <w:rPr>
          <w:rFonts w:ascii="Adani Regular" w:hAnsi="Adani Regular" w:eastAsia="Adani Regular" w:cs="Adani Regular"/>
          <w:b/>
          <w:i w:val="0"/>
          <w:sz w:val="18"/>
        </w:rPr>
        <w:t>{{supplier}}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, loading port: </w:t>
      </w:r>
      <w:r>
        <w:rPr>
          <w:rFonts w:ascii="Adani Regular" w:hAnsi="Adani Regular" w:eastAsia="Adani Regular" w:cs="Adani Regular"/>
          <w:b/>
          <w:i w:val="0"/>
          <w:sz w:val="18"/>
        </w:rPr>
        <w:t>{{port_of_loading}}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[[clause:procurement_cost]]</w:t>
      </w:r>
      <w:r>
        <w:rPr>
          <w:rFonts w:ascii="Adani Regular" w:hAnsi="Adani Regular" w:eastAsia="Adani Regular" w:cs="Adani Regular"/>
          <w:b/>
          <w:sz w:val="18"/>
        </w:rPr>
        <w:t>2. PURCHASE PROCUREMENT COST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Procurement rate: </w:t>
      </w:r>
      <w:r>
        <w:rPr>
          <w:rFonts w:ascii="Adani Regular" w:hAnsi="Adani Regular" w:eastAsia="Adani Regular" w:cs="Adani Regular"/>
          <w:b/>
          <w:i w:val="0"/>
          <w:sz w:val="18"/>
        </w:rPr>
        <w:t>{{purchase_rate}}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. Total purchase cost: </w:t>
      </w:r>
      <w:r>
        <w:rPr>
          <w:rFonts w:ascii="Adani Regular" w:hAnsi="Adani Regular" w:eastAsia="Adani Regular" w:cs="Adani Regular"/>
          <w:b/>
          <w:i w:val="0"/>
          <w:sz w:val="18"/>
        </w:rPr>
        <w:t>{{purchase_value}}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(</w:t>
      </w:r>
      <w:r>
        <w:rPr>
          <w:rFonts w:ascii="Adani Regular" w:hAnsi="Adani Regular" w:eastAsia="Adani Regular" w:cs="Adani Regular"/>
          <w:b/>
          <w:i w:val="0"/>
          <w:sz w:val="18"/>
        </w:rPr>
        <w:t>{{invoice_basis}}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basis, settled in </w:t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).</w:t>
      </w:r>
    </w:p>
    <w:p>
      <w:pPr>
        <w:spacing w:after="0"/>
      </w:pPr>
      <w:r>
        <w:t>[[clause:freight_logistics]]</w:t>
      </w:r>
      <w:r>
        <w:rPr>
          <w:rFonts w:ascii="Adani Regular" w:hAnsi="Adani Regular" w:eastAsia="Adani Regular" w:cs="Adani Regular"/>
          <w:b/>
          <w:sz w:val="18"/>
        </w:rPr>
        <w:t>3. FREIGHT AND HANDLING PROVISION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Ocean freight, container handling, clearance and local port logistics provision: </w:t>
      </w:r>
      <w:r>
        <w:rPr>
          <w:rFonts w:ascii="Adani Regular" w:hAnsi="Adani Regular" w:eastAsia="Adani Regular" w:cs="Adani Regular"/>
          <w:b/>
          <w:i w:val="0"/>
          <w:sz w:val="18"/>
        </w:rPr>
        <w:t>{{freight_and_logistics}}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[[clause:financing_hedging]]</w:t>
      </w:r>
      <w:r>
        <w:rPr>
          <w:rFonts w:ascii="Adani Regular" w:hAnsi="Adani Regular" w:eastAsia="Adani Regular" w:cs="Adani Regular"/>
          <w:b/>
          <w:sz w:val="18"/>
        </w:rPr>
        <w:t>4. HEDGING AND FINANCIAL CHARGES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Hedging and price basis: </w:t>
      </w:r>
      <w:r>
        <w:rPr>
          <w:rFonts w:ascii="Adani Regular" w:hAnsi="Adani Regular" w:eastAsia="Adani Regular" w:cs="Adani Regular"/>
          <w:b/>
          <w:i w:val="0"/>
          <w:sz w:val="18"/>
        </w:rPr>
        <w:t>{{hedge_details}}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. Banking presentation, document release and financing costs allowance: </w:t>
      </w:r>
      <w:r>
        <w:rPr>
          <w:rFonts w:ascii="Adani Regular" w:hAnsi="Adani Regular" w:eastAsia="Adani Regular" w:cs="Adani Regular"/>
          <w:b/>
          <w:i w:val="0"/>
          <w:sz w:val="18"/>
        </w:rPr>
        <w:t>{{financing_and_charges}}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[[clause:landed_cost_summary]]</w:t>
      </w:r>
      <w:r>
        <w:rPr>
          <w:rFonts w:ascii="Adani Regular" w:hAnsi="Adani Regular" w:eastAsia="Adani Regular" w:cs="Adani Regular"/>
          <w:b/>
          <w:sz w:val="18"/>
        </w:rPr>
        <w:t>5. PROJECTED LANDED COST AND STRUCTURE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Total projected cost for batch </w:t>
      </w:r>
      <w:r>
        <w:rPr>
          <w:rFonts w:ascii="Adani Regular" w:hAnsi="Adani Regular" w:eastAsia="Adani Regular" w:cs="Adani Regular"/>
          <w:b/>
          <w:i w:val="0"/>
          <w:sz w:val="18"/>
        </w:rPr>
        <w:t>{{batch_number}}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is </w:t>
      </w:r>
      <w:r>
        <w:rPr>
          <w:rFonts w:ascii="Adani Regular" w:hAnsi="Adani Regular" w:eastAsia="Adani Regular" w:cs="Adani Regular"/>
          <w:b/>
          <w:i w:val="0"/>
          <w:sz w:val="18"/>
        </w:rPr>
        <w:t>{{total_cost}}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</w:t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. </w:t>
      </w:r>
      <w:r>
        <w:rPr>
          <w:rFonts w:ascii="Adani Regular" w:hAnsi="Adani Regular" w:eastAsia="Adani Regular" w:cs="Adani Regular"/>
          <w:b/>
          <w:i w:val="0"/>
          <w:sz w:val="18"/>
        </w:rPr>
        <w:t>{{b2b_split}}</w:t>
      </w:r>
    </w:p>
    <w:p/>
    <w:p>
      <w:r>
        <w:rPr>
          <w:rFonts w:ascii="Adani Regular" w:hAnsi="Adani Regular" w:eastAsia="Adani Regular" w:cs="Adani Regular"/>
          <w:b w:val="0"/>
          <w:i/>
          <w:sz w:val="16"/>
        </w:rPr>
        <w:t xml:space="preserve">INTERNAL COST SHEET. Generated by the AGFZE Command Centre from the purchase transaction record on </w:t>
      </w:r>
      <w:r>
        <w:rPr>
          <w:rFonts w:ascii="Adani Regular" w:hAnsi="Adani Regular" w:eastAsia="Adani Regular" w:cs="Adani Regular"/>
          <w:b/>
          <w:i/>
          <w:sz w:val="16"/>
        </w:rPr>
        <w:t>{{generated_at}}</w:t>
      </w:r>
      <w:r>
        <w:rPr>
          <w:rFonts w:ascii="Adani Regular" w:hAnsi="Adani Regular" w:eastAsia="Adani Regular" w:cs="Adani Regular"/>
          <w:b w:val="0"/>
          <w:i/>
          <w:sz w:val="16"/>
        </w:rPr>
        <w:t xml:space="preserve"> at the request of </w:t>
      </w:r>
      <w:r>
        <w:rPr>
          <w:rFonts w:ascii="Adani Regular" w:hAnsi="Adani Regular" w:eastAsia="Adani Regular" w:cs="Adani Regular"/>
          <w:b/>
          <w:i/>
          <w:sz w:val="16"/>
        </w:rPr>
        <w:t>{{generated_by}}</w:t>
      </w:r>
      <w:r>
        <w:rPr>
          <w:rFonts w:ascii="Adani Regular" w:hAnsi="Adani Regular" w:eastAsia="Adani Regular" w:cs="Adani Regular"/>
          <w:b w:val="0"/>
          <w:i/>
          <w:sz w:val="16"/>
        </w:rPr>
        <w:t>. For internal calculation and financial review only. Confidential.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2088" w:left="1620" w:header="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hanging="630"/>
    </w:pPr>
    <w:r>
      <w:rPr>
        <w:rFonts w:ascii="Adani Regular" w:hAnsi="Adani Regular" w:eastAsia="Adani Regular" w:cs="Adani Regular"/>
        <w:b/>
        <w:color w:val="333399"/>
        <w:sz w:val="16"/>
      </w:rPr>
      <w:t>اداني دجلوبال م م ح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Adani Global FZE</w:t>
    </w:r>
    <w:r>
      <w:rPr>
        <w:rFonts w:ascii="Adani Regular" w:hAnsi="Adani Regular" w:eastAsia="Adani Regular" w:cs="Adani Regular"/>
        <w:b/>
        <w:color w:val="4A442A"/>
        <w:sz w:val="16"/>
      </w:rPr>
      <w:tab/>
      <w:t>Tel: +971 4 3611900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Post Box 17186,</w:t>
    </w:r>
    <w:r>
      <w:rPr>
        <w:rFonts w:ascii="Adani Regular" w:hAnsi="Adani Regular" w:eastAsia="Adani Regular" w:cs="Adani Regular"/>
        <w:b/>
        <w:color w:val="4A442A"/>
        <w:sz w:val="16"/>
      </w:rPr>
      <w:tab/>
      <w:t>Fax: +971 4 3689600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Jebel Ali Free Zone,</w:t>
    </w:r>
    <w:r>
      <w:rPr>
        <w:rFonts w:ascii="Adani Regular" w:hAnsi="Adani Regular" w:eastAsia="Adani Regular" w:cs="Adani Regular"/>
        <w:b/>
        <w:color w:val="4A442A"/>
        <w:sz w:val="16"/>
      </w:rPr>
      <w:tab/>
      <w:t>info.dubai@adani.in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Dubai, UAE</w:t>
    </w:r>
    <w:r>
      <w:rPr>
        <w:rFonts w:ascii="Adani Regular" w:hAnsi="Adani Regular" w:eastAsia="Adani Regular" w:cs="Adani Regular"/>
        <w:b/>
        <w:color w:val="4A442A"/>
        <w:sz w:val="16"/>
      </w:rPr>
      <w:tab/>
      <w:t>www.adani.com</w:t>
    </w:r>
  </w:p>
  <w:p>
    <w:pPr>
      <w:spacing w:after="0"/>
      <w:jc w:val="center"/>
    </w:pPr>
    <w:r>
      <w:rPr>
        <w:rFonts w:ascii="Adani Regular" w:hAnsi="Adani Regular" w:eastAsia="Adani Regular" w:cs="Adani Regular"/>
        <w:b/>
        <w:color w:val="808080"/>
        <w:sz w:val="16"/>
      </w:rPr>
      <w:t>ذات مسئولية محدودة تأسست بموجب القانون رقم 9 لسنة 1992</w:t>
    </w:r>
  </w:p>
  <w:p>
    <w:pPr>
      <w:spacing w:after="0"/>
      <w:jc w:val="center"/>
    </w:pPr>
    <w:r>
      <w:rPr>
        <w:rFonts w:ascii="Adani Regular" w:hAnsi="Adani Regular" w:eastAsia="Adani Regular" w:cs="Adani Regular"/>
        <w:b/>
        <w:color w:val="808080"/>
        <w:sz w:val="16"/>
      </w:rPr>
      <w:t>Formed pursuant to Law No.9 of 1992 With Limited Liability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hanging="720"/>
    </w:pPr>
    <w:r>
      <w:drawing>
        <wp:inline xmlns:a="http://schemas.openxmlformats.org/drawingml/2006/main" xmlns:pic="http://schemas.openxmlformats.org/drawingml/2006/picture">
          <wp:extent cx="1628775" cy="93344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8775" cy="93344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 Regular" w:hAnsi="Adani Regular" w:eastAsia="Adani Regular" w:cs="Adani Regula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