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dani Regular" w:hAnsi="Adani Regular" w:eastAsia="Adani Regular" w:cs="Adani Regular"/>
          <w:b/>
          <w:sz w:val="22"/>
          <w:u w:val="single"/>
        </w:rPr>
        <w:t>COMMERCIAL INVOICE</w:t>
      </w:r>
    </w:p>
    <w:p>
      <w:pPr>
        <w:jc w:val="center"/>
      </w:pPr>
      <w:r>
        <w:rPr>
          <w:rFonts w:ascii="Adani Regular" w:hAnsi="Adani Regular" w:eastAsia="Adani Regular" w:cs="Adani Regular"/>
          <w:b w:val="0"/>
          <w:i/>
          <w:sz w:val="16"/>
        </w:rPr>
        <w:t>Draft for internal review - not issued, not signed</w:t>
      </w:r>
    </w:p>
    <w:p>
      <w:pPr>
        <w:tabs>
          <w:tab w:pos="9180" w:val="right"/>
        </w:tabs>
      </w:pPr>
      <w:r>
        <w:rPr>
          <w:rFonts w:ascii="Adani Regular" w:hAnsi="Adani Regular" w:eastAsia="Adani Regular" w:cs="Adani Regular"/>
          <w:b/>
          <w:i w:val="0"/>
          <w:sz w:val="20"/>
        </w:rPr>
        <w:t>{{invoice_no}}</w:t>
      </w:r>
      <w:r>
        <w:tab/>
      </w:r>
      <w:r>
        <w:rPr>
          <w:rFonts w:ascii="Adani Regular" w:hAnsi="Adani Regular" w:eastAsia="Adani Regular" w:cs="Adani Regular"/>
          <w:b w:val="0"/>
          <w:i w:val="0"/>
          <w:sz w:val="20"/>
        </w:rPr>
        <w:t xml:space="preserve">DATE: </w:t>
      </w:r>
      <w:r>
        <w:rPr>
          <w:rFonts w:ascii="Adani Regular" w:hAnsi="Adani Regular" w:eastAsia="Adani Regular" w:cs="Adani Regular"/>
          <w:b/>
          <w:i w:val="0"/>
          <w:sz w:val="20"/>
        </w:rPr>
        <w:t>{{invoice_date}}</w:t>
      </w:r>
    </w:p>
    <w:p/>
    <w:p>
      <w:pPr>
        <w:spacing w:after="0"/>
      </w:pPr>
      <w:r>
        <w:rPr>
          <w:rFonts w:ascii="Adani Regular" w:hAnsi="Adani Regular" w:eastAsia="Adani Regular" w:cs="Adani Regular"/>
          <w:b/>
          <w:i w:val="0"/>
          <w:sz w:val="18"/>
        </w:rPr>
        <w:t>{{buyer}}</w:t>
      </w:r>
    </w:p>
    <w:p/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SALES CONTRACT NUMBER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{{contract_no}}</w:t>
      </w:r>
    </w:p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AGFZE BATCH REFERENCE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{{batch_number}}</w:t>
      </w:r>
    </w:p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SELLER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{{seller}}</w:t>
      </w:r>
    </w:p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DESTINATION TERRITORY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{{territory}}</w:t>
      </w:r>
    </w:p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TRADE GRADE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{{commodity_code}}</w:t>
      </w:r>
    </w:p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RATE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{{price_terms}}</w:t>
      </w:r>
    </w:p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CURRENCY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{{currency}}</w:t>
      </w:r>
    </w:p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INVOICE BASIS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{{invoice_basis}}</w:t>
      </w:r>
    </w:p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PAYMENT CONDITION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{{payment_condition}}</w:t>
      </w:r>
    </w:p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PORT OF LOADING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{{port_of_loading}}</w:t>
      </w:r>
    </w:p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PORT OF DISCHARGE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{{port_of_discharge}}</w:t>
      </w:r>
    </w:p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BILL OF LADING REFERENCE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{{bl_reference}}</w:t>
      </w:r>
    </w:p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295"/>
        <w:gridCol w:w="2295"/>
        <w:gridCol w:w="2295"/>
        <w:gridCol w:w="2295"/>
      </w:tblGrid>
      <w:tr>
        <w:tc>
          <w:tcPr>
            <w:tcW w:type="dxa" w:w="4212"/>
            <w:tcBorders>
              <w:top w:val="single" w:sz="6" w:space="0" w:color="000000"/>
            </w:tcBorders>
          </w:tcPr>
          <w:p>
            <w:pPr>
              <w:spacing w:after="0"/>
              <w:jc w:val="left"/>
            </w:pPr>
            <w:r>
              <w:rPr>
                <w:rFonts w:ascii="Adani Regular" w:hAnsi="Adani Regular" w:eastAsia="Adani Regular" w:cs="Adani Regular"/>
                <w:b/>
                <w:sz w:val="18"/>
              </w:rPr>
              <w:t>DESCRIPTION</w:t>
            </w:r>
          </w:p>
        </w:tc>
        <w:tc>
          <w:tcPr>
            <w:tcW w:type="dxa" w:w="1656"/>
            <w:tcBorders>
              <w:top w:val="single" w:sz="6" w:space="0" w:color="000000"/>
            </w:tcBorders>
          </w:tcPr>
          <w:p>
            <w:pPr>
              <w:spacing w:after="0"/>
              <w:jc w:val="right"/>
            </w:pPr>
            <w:r>
              <w:rPr>
                <w:rFonts w:ascii="Adani Regular" w:hAnsi="Adani Regular" w:eastAsia="Adani Regular" w:cs="Adani Regular"/>
                <w:b/>
                <w:sz w:val="18"/>
              </w:rPr>
              <w:t>QUANTITY</w:t>
            </w:r>
          </w:p>
        </w:tc>
        <w:tc>
          <w:tcPr>
            <w:tcW w:type="dxa" w:w="1656"/>
            <w:tcBorders>
              <w:top w:val="single" w:sz="6" w:space="0" w:color="000000"/>
            </w:tcBorders>
          </w:tcPr>
          <w:p>
            <w:pPr>
              <w:spacing w:after="0"/>
              <w:jc w:val="right"/>
            </w:pPr>
            <w:r>
              <w:rPr>
                <w:rFonts w:ascii="Adani Regular" w:hAnsi="Adani Regular" w:eastAsia="Adani Regular" w:cs="Adani Regular"/>
                <w:b/>
                <w:sz w:val="18"/>
              </w:rPr>
              <w:t>UNIT PRICE</w:t>
            </w:r>
          </w:p>
        </w:tc>
        <w:tc>
          <w:tcPr>
            <w:tcW w:type="dxa" w:w="1656"/>
            <w:tcBorders>
              <w:top w:val="single" w:sz="6" w:space="0" w:color="000000"/>
            </w:tcBorders>
          </w:tcPr>
          <w:p>
            <w:pPr>
              <w:spacing w:after="0"/>
              <w:jc w:val="right"/>
            </w:pPr>
            <w:r>
              <w:rPr>
                <w:rFonts w:ascii="Adani Regular" w:hAnsi="Adani Regular" w:eastAsia="Adani Regular" w:cs="Adani Regular"/>
                <w:b/>
                <w:sz w:val="18"/>
              </w:rPr>
              <w:t>AMOUNT</w:t>
            </w:r>
          </w:p>
        </w:tc>
      </w:tr>
      <w:tr>
        <w:tc>
          <w:tcPr>
            <w:tcW w:type="dxa" w:w="4212"/>
            <w:tcBorders>
              <w:bottom w:val="single" w:sz="6" w:space="0" w:color="000000"/>
            </w:tcBorders>
          </w:tcPr>
          <w:p>
            <w:pPr>
              <w:spacing w:after="0"/>
              <w:jc w:val="left"/>
            </w:pPr>
          </w:p>
        </w:tc>
        <w:tc>
          <w:tcPr>
            <w:tcW w:type="dxa" w:w="1656"/>
            <w:tcBorders>
              <w:bottom w:val="single" w:sz="6" w:space="0" w:color="000000"/>
            </w:tcBorders>
          </w:tcPr>
          <w:p>
            <w:pPr>
              <w:spacing w:after="0"/>
              <w:jc w:val="right"/>
            </w:pPr>
            <w:r>
              <w:rPr>
                <w:rFonts w:ascii="Adani Regular" w:hAnsi="Adani Regular" w:eastAsia="Adani Regular" w:cs="Adani Regular"/>
                <w:b w:val="0"/>
                <w:i w:val="0"/>
                <w:sz w:val="18"/>
              </w:rPr>
              <w:t>(NET MTS)</w:t>
            </w:r>
          </w:p>
        </w:tc>
        <w:tc>
          <w:tcPr>
            <w:tcW w:type="dxa" w:w="1656"/>
            <w:tcBorders>
              <w:bottom w:val="single" w:sz="6" w:space="0" w:color="000000"/>
            </w:tcBorders>
          </w:tcPr>
          <w:p>
            <w:pPr>
              <w:spacing w:after="0"/>
              <w:jc w:val="right"/>
            </w:pPr>
            <w:r>
              <w:rPr>
                <w:rFonts w:ascii="Adani Regular" w:hAnsi="Adani Regular" w:eastAsia="Adani Regular" w:cs="Adani Regular"/>
                <w:b w:val="0"/>
                <w:i w:val="0"/>
                <w:sz w:val="18"/>
              </w:rPr>
              <w:t>(</w:t>
            </w:r>
            <w:r>
              <w:rPr>
                <w:rFonts w:ascii="Adani Regular" w:hAnsi="Adani Regular" w:eastAsia="Adani Regular" w:cs="Adani Regular"/>
                <w:b/>
                <w:i w:val="0"/>
                <w:sz w:val="18"/>
              </w:rPr>
              <w:t>{{currency}}</w:t>
            </w:r>
            <w:r>
              <w:rPr>
                <w:rFonts w:ascii="Adani Regular" w:hAnsi="Adani Regular" w:eastAsia="Adani Regular" w:cs="Adani Regular"/>
                <w:b w:val="0"/>
                <w:i w:val="0"/>
                <w:sz w:val="18"/>
              </w:rPr>
              <w:t xml:space="preserve"> PER MT)</w:t>
            </w:r>
          </w:p>
        </w:tc>
        <w:tc>
          <w:tcPr>
            <w:tcW w:type="dxa" w:w="1656"/>
            <w:tcBorders>
              <w:bottom w:val="single" w:sz="6" w:space="0" w:color="000000"/>
            </w:tcBorders>
          </w:tcPr>
          <w:p>
            <w:pPr>
              <w:spacing w:after="0"/>
              <w:jc w:val="right"/>
            </w:pPr>
            <w:r>
              <w:rPr>
                <w:rFonts w:ascii="Adani Regular" w:hAnsi="Adani Regular" w:eastAsia="Adani Regular" w:cs="Adani Regular"/>
                <w:b w:val="0"/>
                <w:i w:val="0"/>
                <w:sz w:val="18"/>
              </w:rPr>
              <w:t>(</w:t>
            </w:r>
            <w:r>
              <w:rPr>
                <w:rFonts w:ascii="Adani Regular" w:hAnsi="Adani Regular" w:eastAsia="Adani Regular" w:cs="Adani Regular"/>
                <w:b/>
                <w:i w:val="0"/>
                <w:sz w:val="18"/>
              </w:rPr>
              <w:t>{{currency}}</w:t>
            </w:r>
            <w:r>
              <w:rPr>
                <w:rFonts w:ascii="Adani Regular" w:hAnsi="Adani Regular" w:eastAsia="Adani Regular" w:cs="Adani Regular"/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212"/>
          </w:tcPr>
          <w:p>
            <w:pPr>
              <w:spacing w:after="0"/>
              <w:jc w:val="left"/>
            </w:pPr>
            <w:r>
              <w:rPr>
                <w:rFonts w:ascii="Adani Regular" w:hAnsi="Adani Regular" w:eastAsia="Adani Regular" w:cs="Adani Regular"/>
                <w:b/>
                <w:i w:val="0"/>
                <w:sz w:val="18"/>
              </w:rPr>
              <w:t>{{commodity}}</w:t>
            </w:r>
          </w:p>
        </w:tc>
        <w:tc>
          <w:tcPr>
            <w:tcW w:type="dxa" w:w="1656"/>
          </w:tcPr>
          <w:p>
            <w:pPr>
              <w:spacing w:after="0"/>
              <w:jc w:val="right"/>
            </w:pPr>
            <w:r>
              <w:rPr>
                <w:rFonts w:ascii="Adani Regular" w:hAnsi="Adani Regular" w:eastAsia="Adani Regular" w:cs="Adani Regular"/>
                <w:b/>
                <w:i w:val="0"/>
                <w:sz w:val="18"/>
              </w:rPr>
              <w:t>{{quantity}}</w:t>
            </w:r>
          </w:p>
        </w:tc>
        <w:tc>
          <w:tcPr>
            <w:tcW w:type="dxa" w:w="1656"/>
          </w:tcPr>
          <w:p>
            <w:pPr>
              <w:spacing w:after="0"/>
              <w:jc w:val="right"/>
            </w:pPr>
            <w:r>
              <w:rPr>
                <w:rFonts w:ascii="Adani Regular" w:hAnsi="Adani Regular" w:eastAsia="Adani Regular" w:cs="Adani Regular"/>
                <w:b/>
                <w:i w:val="0"/>
                <w:sz w:val="18"/>
              </w:rPr>
              <w:t>{{unit_rate}}</w:t>
            </w:r>
          </w:p>
        </w:tc>
        <w:tc>
          <w:tcPr>
            <w:tcW w:type="dxa" w:w="1656"/>
          </w:tcPr>
          <w:p>
            <w:pPr>
              <w:spacing w:after="0"/>
              <w:jc w:val="right"/>
            </w:pPr>
            <w:r>
              <w:rPr>
                <w:rFonts w:ascii="Adani Regular" w:hAnsi="Adani Regular" w:eastAsia="Adani Regular" w:cs="Adani Regular"/>
                <w:b/>
                <w:i w:val="0"/>
                <w:sz w:val="18"/>
              </w:rPr>
              <w:t>{{total_value}}</w:t>
            </w:r>
          </w:p>
        </w:tc>
      </w:tr>
    </w:tbl>
    <w:p>
      <w:pPr>
        <w:pBdr>
          <w:top w:val="single" w:sz="6" w:space="1" w:color="000000"/>
        </w:pBdr>
        <w:tabs>
          <w:tab w:pos="9180" w:val="right"/>
        </w:tabs>
      </w:pPr>
      <w:r>
        <w:rPr>
          <w:rFonts w:ascii="Adani Regular" w:hAnsi="Adani Regular" w:eastAsia="Adani Regular" w:cs="Adani Regular"/>
          <w:b/>
          <w:i w:val="0"/>
          <w:sz w:val="18"/>
        </w:rPr>
        <w:t>{{currency}}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 TOTAL PAYABLE</w:t>
      </w:r>
      <w:r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{{total_value}}</w:t>
      </w:r>
    </w:p>
    <w:p/>
    <w:p>
      <w:pPr>
        <w:spacing w:after="0"/>
      </w:pPr>
      <w:r>
        <w:t>[[clause:header]]</w:t>
      </w:r>
      <w:r>
        <w:rPr>
          <w:rFonts w:ascii="Adani Regular" w:hAnsi="Adani Regular" w:eastAsia="Adani Regular" w:cs="Adani Regular"/>
          <w:b/>
          <w:sz w:val="18"/>
        </w:rPr>
        <w:t>INVOICE TO</w:t>
      </w:r>
    </w:p>
    <w:p>
      <w:pPr>
        <w:jc w:val="both"/>
      </w:pPr>
      <w:r>
        <w:rPr>
          <w:rFonts w:ascii="Adani Regular" w:hAnsi="Adani Regular" w:eastAsia="Adani Regular" w:cs="Adani Regular"/>
          <w:b/>
          <w:i w:val="0"/>
          <w:sz w:val="18"/>
        </w:rPr>
        <w:t>{{buyer}}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, against sales contract </w:t>
      </w:r>
      <w:r>
        <w:rPr>
          <w:rFonts w:ascii="Adani Regular" w:hAnsi="Adani Regular" w:eastAsia="Adani Regular" w:cs="Adani Regular"/>
          <w:b/>
          <w:i w:val="0"/>
          <w:sz w:val="18"/>
        </w:rPr>
        <w:t>{{contract_no}}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 and AGFZE batch reference </w:t>
      </w:r>
      <w:r>
        <w:rPr>
          <w:rFonts w:ascii="Adani Regular" w:hAnsi="Adani Regular" w:eastAsia="Adani Regular" w:cs="Adani Regular"/>
          <w:b/>
          <w:i w:val="0"/>
          <w:sz w:val="18"/>
        </w:rPr>
        <w:t>{{batch_number}}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. Bill of lading reference </w:t>
      </w:r>
      <w:r>
        <w:rPr>
          <w:rFonts w:ascii="Adani Regular" w:hAnsi="Adani Regular" w:eastAsia="Adani Regular" w:cs="Adani Regular"/>
          <w:b/>
          <w:i w:val="0"/>
          <w:sz w:val="18"/>
        </w:rPr>
        <w:t>{{bl_reference}}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>.</w:t>
      </w:r>
    </w:p>
    <w:p>
      <w:pPr>
        <w:spacing w:after="0"/>
      </w:pPr>
      <w:r>
        <w:t>[[clause:goods_description]]</w:t>
      </w:r>
      <w:r>
        <w:rPr>
          <w:rFonts w:ascii="Adani Regular" w:hAnsi="Adani Regular" w:eastAsia="Adani Regular" w:cs="Adani Regular"/>
          <w:b/>
          <w:sz w:val="18"/>
        </w:rPr>
        <w:t>DESCRIPTION OF GOODS</w:t>
      </w:r>
    </w:p>
    <w:p>
      <w:pPr>
        <w:jc w:val="both"/>
      </w:pPr>
      <w:r>
        <w:rPr>
          <w:rFonts w:ascii="Adani Regular" w:hAnsi="Adani Regular" w:eastAsia="Adani Regular" w:cs="Adani Regular"/>
          <w:b/>
          <w:i w:val="0"/>
          <w:sz w:val="18"/>
        </w:rPr>
        <w:t>{{commodity}}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 (trade grade </w:t>
      </w:r>
      <w:r>
        <w:rPr>
          <w:rFonts w:ascii="Adani Regular" w:hAnsi="Adani Regular" w:eastAsia="Adani Regular" w:cs="Adani Regular"/>
          <w:b/>
          <w:i w:val="0"/>
          <w:sz w:val="18"/>
        </w:rPr>
        <w:t>{{commodity_code}}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), </w:t>
      </w:r>
      <w:r>
        <w:rPr>
          <w:rFonts w:ascii="Adani Regular" w:hAnsi="Adani Regular" w:eastAsia="Adani Regular" w:cs="Adani Regular"/>
          <w:b/>
          <w:i w:val="0"/>
          <w:sz w:val="18"/>
        </w:rPr>
        <w:t>{{quantity}}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, shipped </w:t>
      </w:r>
      <w:r>
        <w:rPr>
          <w:rFonts w:ascii="Adani Regular" w:hAnsi="Adani Regular" w:eastAsia="Adani Regular" w:cs="Adani Regular"/>
          <w:b/>
          <w:i w:val="0"/>
          <w:sz w:val="18"/>
        </w:rPr>
        <w:t>{{port_of_loading}}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 to </w:t>
      </w:r>
      <w:r>
        <w:rPr>
          <w:rFonts w:ascii="Adani Regular" w:hAnsi="Adani Regular" w:eastAsia="Adani Regular" w:cs="Adani Regular"/>
          <w:b/>
          <w:i w:val="0"/>
          <w:sz w:val="18"/>
        </w:rPr>
        <w:t>{{port_of_discharge}}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>.</w:t>
      </w:r>
    </w:p>
    <w:p>
      <w:pPr>
        <w:spacing w:after="0"/>
      </w:pPr>
      <w:r>
        <w:t>[[clause:pricing_provisional]]</w:t>
      </w:r>
      <w:r>
        <w:rPr>
          <w:rFonts w:ascii="Adani Regular" w:hAnsi="Adani Regular" w:eastAsia="Adani Regular" w:cs="Adani Regular"/>
          <w:b/>
          <w:sz w:val="18"/>
        </w:rPr>
        <w:t>PROVISIONAL VALUE</w:t>
      </w:r>
    </w:p>
    <w:p>
      <w:pPr>
        <w:jc w:val="both"/>
      </w:pP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This is a PROVISIONAL invoice. The value of </w:t>
      </w:r>
      <w:r>
        <w:rPr>
          <w:rFonts w:ascii="Adani Regular" w:hAnsi="Adani Regular" w:eastAsia="Adani Regular" w:cs="Adani Regular"/>
          <w:b/>
          <w:i w:val="0"/>
          <w:sz w:val="18"/>
        </w:rPr>
        <w:t>{{total_value}}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 is calculated on a price of </w:t>
      </w:r>
      <w:r>
        <w:rPr>
          <w:rFonts w:ascii="Adani Regular" w:hAnsi="Adani Regular" w:eastAsia="Adani Regular" w:cs="Adani Regular"/>
          <w:b/>
          <w:i w:val="0"/>
          <w:sz w:val="18"/>
        </w:rPr>
        <w:t>{{price_terms}}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 and is subject to adjustment once the price is fixed. A final invoice will follow on fixation.</w:t>
      </w:r>
    </w:p>
    <w:p>
      <w:pPr>
        <w:spacing w:after="0"/>
      </w:pPr>
      <w:r>
        <w:t>[[clause:pricing_final]]</w:t>
      </w:r>
      <w:r>
        <w:rPr>
          <w:rFonts w:ascii="Adani Regular" w:hAnsi="Adani Regular" w:eastAsia="Adani Regular" w:cs="Adani Regular"/>
          <w:b/>
          <w:sz w:val="18"/>
        </w:rPr>
        <w:t>FINAL VALUE</w:t>
      </w:r>
    </w:p>
    <w:p>
      <w:pPr>
        <w:jc w:val="both"/>
      </w:pP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This is a FINAL invoice. The value of </w:t>
      </w:r>
      <w:r>
        <w:rPr>
          <w:rFonts w:ascii="Adani Regular" w:hAnsi="Adani Regular" w:eastAsia="Adani Regular" w:cs="Adani Regular"/>
          <w:b/>
          <w:i w:val="0"/>
          <w:sz w:val="18"/>
        </w:rPr>
        <w:t>{{total_value}}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 is calculated on a fixed price of </w:t>
      </w:r>
      <w:r>
        <w:rPr>
          <w:rFonts w:ascii="Adani Regular" w:hAnsi="Adani Regular" w:eastAsia="Adani Regular" w:cs="Adani Regular"/>
          <w:b/>
          <w:i w:val="0"/>
          <w:sz w:val="18"/>
        </w:rPr>
        <w:t>{{price_terms}}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 and is not subject to further adjustment.</w:t>
      </w:r>
    </w:p>
    <w:p>
      <w:pPr>
        <w:spacing w:after="0"/>
      </w:pPr>
      <w:r>
        <w:t>[[clause:lme_reference]]</w:t>
      </w:r>
      <w:r>
        <w:rPr>
          <w:rFonts w:ascii="Adani Regular" w:hAnsi="Adani Regular" w:eastAsia="Adani Regular" w:cs="Adani Regular"/>
          <w:b/>
          <w:sz w:val="18"/>
        </w:rPr>
        <w:t>PRICING BASIS</w:t>
      </w:r>
    </w:p>
    <w:p>
      <w:pPr>
        <w:jc w:val="both"/>
      </w:pP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Price basis: </w:t>
      </w:r>
      <w:r>
        <w:rPr>
          <w:rFonts w:ascii="Adani Regular" w:hAnsi="Adani Regular" w:eastAsia="Adani Regular" w:cs="Adani Regular"/>
          <w:b/>
          <w:i w:val="0"/>
          <w:sz w:val="18"/>
        </w:rPr>
        <w:t>{{price_terms}}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>, referenced to the London Metal Exchange cash settlement for the relevant grade over the agreed pricing period.</w:t>
      </w:r>
    </w:p>
    <w:p>
      <w:pPr>
        <w:spacing w:after="0"/>
      </w:pPr>
      <w:r>
        <w:t>[[clause:payment_cad]]</w:t>
      </w:r>
      <w:r>
        <w:rPr>
          <w:rFonts w:ascii="Adani Regular" w:hAnsi="Adani Regular" w:eastAsia="Adani Regular" w:cs="Adani Regular"/>
          <w:b/>
          <w:sz w:val="18"/>
        </w:rPr>
        <w:t>PAYMENT</w:t>
      </w:r>
    </w:p>
    <w:p>
      <w:pPr>
        <w:jc w:val="both"/>
      </w:pPr>
      <w:r>
        <w:rPr>
          <w:rFonts w:ascii="Adani Regular" w:hAnsi="Adani Regular" w:eastAsia="Adani Regular" w:cs="Adani Regular"/>
          <w:b w:val="0"/>
          <w:i w:val="0"/>
          <w:sz w:val="18"/>
        </w:rPr>
        <w:t>Payable on Cash Against Documents (</w:t>
      </w:r>
      <w:r>
        <w:rPr>
          <w:rFonts w:ascii="Adani Regular" w:hAnsi="Adani Regular" w:eastAsia="Adani Regular" w:cs="Adani Regular"/>
          <w:b/>
          <w:i w:val="0"/>
          <w:sz w:val="18"/>
        </w:rPr>
        <w:t>{{payment_condition}}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) in </w:t>
      </w:r>
      <w:r>
        <w:rPr>
          <w:rFonts w:ascii="Adani Regular" w:hAnsi="Adani Regular" w:eastAsia="Adani Regular" w:cs="Adani Regular"/>
          <w:b/>
          <w:i w:val="0"/>
          <w:sz w:val="18"/>
        </w:rPr>
        <w:t>{{currency}}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>, against presentation of the full documentary set.</w:t>
      </w:r>
    </w:p>
    <w:p>
      <w:pPr>
        <w:spacing w:after="0"/>
      </w:pPr>
      <w:r>
        <w:t>[[clause:payment_tt]]</w:t>
      </w:r>
      <w:r>
        <w:rPr>
          <w:rFonts w:ascii="Adani Regular" w:hAnsi="Adani Regular" w:eastAsia="Adani Regular" w:cs="Adani Regular"/>
          <w:b/>
          <w:sz w:val="18"/>
        </w:rPr>
        <w:t>PAYMENT</w:t>
      </w:r>
    </w:p>
    <w:p>
      <w:pPr>
        <w:jc w:val="both"/>
      </w:pPr>
      <w:r>
        <w:rPr>
          <w:rFonts w:ascii="Adani Regular" w:hAnsi="Adani Regular" w:eastAsia="Adani Regular" w:cs="Adani Regular"/>
          <w:b w:val="0"/>
          <w:i w:val="0"/>
          <w:sz w:val="18"/>
        </w:rPr>
        <w:t>Payable by telegraphic transfer (</w:t>
      </w:r>
      <w:r>
        <w:rPr>
          <w:rFonts w:ascii="Adani Regular" w:hAnsi="Adani Regular" w:eastAsia="Adani Regular" w:cs="Adani Regular"/>
          <w:b/>
          <w:i w:val="0"/>
          <w:sz w:val="18"/>
        </w:rPr>
        <w:t>{{payment_condition}}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) in </w:t>
      </w:r>
      <w:r>
        <w:rPr>
          <w:rFonts w:ascii="Adani Regular" w:hAnsi="Adani Regular" w:eastAsia="Adani Regular" w:cs="Adani Regular"/>
          <w:b/>
          <w:i w:val="0"/>
          <w:sz w:val="18"/>
        </w:rPr>
        <w:t>{{currency}}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 to the Seller's nominated account, in cleared funds.</w:t>
      </w:r>
    </w:p>
    <w:p>
      <w:pPr>
        <w:spacing w:after="0"/>
      </w:pPr>
      <w:r>
        <w:t>[[clause:bank_details]]</w:t>
      </w:r>
      <w:r>
        <w:rPr>
          <w:rFonts w:ascii="Adani Regular" w:hAnsi="Adani Regular" w:eastAsia="Adani Regular" w:cs="Adani Regular"/>
          <w:b/>
          <w:sz w:val="18"/>
        </w:rPr>
        <w:t>REMITTANCE</w:t>
      </w:r>
    </w:p>
    <w:p>
      <w:pPr>
        <w:jc w:val="both"/>
      </w:pP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Bank details for remittance are those held on file for </w:t>
      </w:r>
      <w:r>
        <w:rPr>
          <w:rFonts w:ascii="Adani Regular" w:hAnsi="Adani Regular" w:eastAsia="Adani Regular" w:cs="Adani Regular"/>
          <w:b/>
          <w:i w:val="0"/>
          <w:sz w:val="18"/>
        </w:rPr>
        <w:t>{{seller}}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 and confirmed to Buyer in writing. Buyer must not act on bank details received by any other route.</w:t>
      </w:r>
    </w:p>
    <w:p>
      <w:pPr>
        <w:spacing w:after="0"/>
      </w:pPr>
      <w:r>
        <w:t>[[clause:destination_declaration]]</w:t>
      </w:r>
      <w:r>
        <w:rPr>
          <w:rFonts w:ascii="Adani Regular" w:hAnsi="Adani Regular" w:eastAsia="Adani Regular" w:cs="Adani Regular"/>
          <w:b/>
          <w:sz w:val="18"/>
        </w:rPr>
        <w:t>DESTINATION REQUIREMENTS</w:t>
      </w:r>
    </w:p>
    <w:p>
      <w:pPr>
        <w:jc w:val="both"/>
      </w:pPr>
      <w:r>
        <w:rPr>
          <w:rFonts w:ascii="Adani Regular" w:hAnsi="Adani Regular" w:eastAsia="Adani Regular" w:cs="Adani Regular"/>
          <w:b/>
          <w:i w:val="0"/>
          <w:sz w:val="18"/>
        </w:rPr>
        <w:t>{{territory_reference}}</w:t>
      </w:r>
    </w:p>
    <w:p>
      <w:pPr>
        <w:spacing w:after="0"/>
      </w:pPr>
      <w:r>
        <w:t>[[clause:declaration]]</w:t>
      </w:r>
      <w:r>
        <w:rPr>
          <w:rFonts w:ascii="Adani Regular" w:hAnsi="Adani Regular" w:eastAsia="Adani Regular" w:cs="Adani Regular"/>
          <w:b/>
          <w:sz w:val="18"/>
        </w:rPr>
        <w:t>DECLARATION</w:t>
      </w:r>
    </w:p>
    <w:p>
      <w:pPr>
        <w:jc w:val="both"/>
      </w:pPr>
      <w:r>
        <w:rPr>
          <w:rFonts w:ascii="Adani Regular" w:hAnsi="Adani Regular" w:eastAsia="Adani Regular" w:cs="Adani Regular"/>
          <w:b w:val="0"/>
          <w:i w:val="0"/>
          <w:sz w:val="18"/>
        </w:rPr>
        <w:t>We certify the above particulars to be true and correct, and that the goods are of the origin and description stated.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180"/>
      </w:tblGrid>
      <w:tr>
        <w:tc>
          <w:tcPr>
            <w:tcW w:type="dxa" w:w="9180"/>
          </w:tcPr>
          <w:p>
            <w:pPr>
              <w:spacing w:after="0"/>
            </w:pPr>
            <w:r>
              <w:rPr>
                <w:rFonts w:ascii="Adani Regular" w:hAnsi="Adani Regular" w:eastAsia="Adani Regular" w:cs="Adani Regular"/>
                <w:b/>
                <w:sz w:val="18"/>
              </w:rPr>
            </w:r>
          </w:p>
          <w:p>
            <w:pPr>
              <w:spacing w:after="0"/>
            </w:pPr>
            <w:r>
              <w:rPr>
                <w:rFonts w:ascii="Adani Regular" w:hAnsi="Adani Regular" w:eastAsia="Adani Regular" w:cs="Adani Regular"/>
                <w:b/>
                <w:sz w:val="18"/>
              </w:rPr>
            </w:r>
            <w:r>
              <w:rPr>
                <w:rFonts w:ascii="Adani Regular" w:hAnsi="Adani Regular" w:eastAsia="Adani Regular" w:cs="Adani Regular"/>
                <w:b w:val="0"/>
                <w:i w:val="0"/>
                <w:sz w:val="18"/>
              </w:rPr>
              <w:t xml:space="preserve">FOR </w:t>
            </w:r>
            <w:r>
              <w:rPr>
                <w:rFonts w:ascii="Adani Regular" w:hAnsi="Adani Regular" w:eastAsia="Adani Regular" w:cs="Adani Regular"/>
                <w:b/>
                <w:i w:val="0"/>
                <w:sz w:val="18"/>
              </w:rPr>
              <w:t>{{agfze}}</w:t>
            </w:r>
          </w:p>
          <w:p/>
          <w:p/>
          <w:p>
            <w:pPr>
              <w:spacing w:after="0"/>
            </w:pPr>
            <w:r>
              <w:rPr>
                <w:rFonts w:ascii="Adani Regular" w:hAnsi="Adani Regular" w:eastAsia="Adani Regular" w:cs="Adani Regular"/>
                <w:b/>
                <w:sz w:val="18"/>
              </w:rPr>
              <w:t>AUTHORIZED SIGNATORY</w:t>
            </w:r>
          </w:p>
        </w:tc>
      </w:tr>
    </w:tbl>
    <w:p/>
    <w:p>
      <w:r>
        <w:rPr>
          <w:rFonts w:ascii="Adani Regular" w:hAnsi="Adani Regular" w:eastAsia="Adani Regular" w:cs="Adani Regular"/>
          <w:b w:val="0"/>
          <w:i/>
          <w:sz w:val="16"/>
        </w:rPr>
        <w:t xml:space="preserve">DRAFT. Generated by the AGFZE Command Centre from the transaction record on </w:t>
      </w:r>
      <w:r>
        <w:rPr>
          <w:rFonts w:ascii="Adani Regular" w:hAnsi="Adani Regular" w:eastAsia="Adani Regular" w:cs="Adani Regular"/>
          <w:b/>
          <w:i/>
          <w:sz w:val="16"/>
        </w:rPr>
        <w:t>{{generated_at}}</w:t>
      </w:r>
      <w:r>
        <w:rPr>
          <w:rFonts w:ascii="Adani Regular" w:hAnsi="Adani Regular" w:eastAsia="Adani Regular" w:cs="Adani Regular"/>
          <w:b w:val="0"/>
          <w:i/>
          <w:sz w:val="16"/>
        </w:rPr>
        <w:t xml:space="preserve"> at the request of </w:t>
      </w:r>
      <w:r>
        <w:rPr>
          <w:rFonts w:ascii="Adani Regular" w:hAnsi="Adani Regular" w:eastAsia="Adani Regular" w:cs="Adani Regular"/>
          <w:b/>
          <w:i/>
          <w:sz w:val="16"/>
        </w:rPr>
        <w:t>{{generated_by}}</w:t>
      </w:r>
      <w:r>
        <w:rPr>
          <w:rFonts w:ascii="Adani Regular" w:hAnsi="Adani Regular" w:eastAsia="Adani Regular" w:cs="Adani Regular"/>
          <w:b w:val="0"/>
          <w:i/>
          <w:sz w:val="16"/>
        </w:rPr>
        <w:t>. This document has not been issued, sent or signed. It is for review inside AGFZE only; the signed original is a wet-signed paper document produced outside this platform.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2088" w:left="1620" w:header="0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ind w:hanging="630"/>
    </w:pPr>
    <w:r>
      <w:rPr>
        <w:rFonts w:ascii="Adani Regular" w:hAnsi="Adani Regular" w:eastAsia="Adani Regular" w:cs="Adani Regular"/>
        <w:b/>
        <w:color w:val="333399"/>
        <w:sz w:val="16"/>
      </w:rPr>
      <w:t>اداني دجلوبال م م ح</w:t>
    </w:r>
  </w:p>
  <w:p>
    <w:pPr>
      <w:tabs>
        <w:tab w:pos="1680" w:val="left"/>
      </w:tabs>
      <w:spacing w:after="0"/>
      <w:ind w:hanging="630"/>
    </w:pPr>
    <w:r>
      <w:rPr>
        <w:rFonts w:ascii="Adani Regular" w:hAnsi="Adani Regular" w:eastAsia="Adani Regular" w:cs="Adani Regular"/>
        <w:b/>
        <w:color w:val="4A442A"/>
        <w:sz w:val="16"/>
      </w:rPr>
      <w:t>Adani Global FZE</w:t>
    </w:r>
    <w:r>
      <w:rPr>
        <w:rFonts w:ascii="Adani Regular" w:hAnsi="Adani Regular" w:eastAsia="Adani Regular" w:cs="Adani Regular"/>
        <w:b/>
        <w:color w:val="4A442A"/>
        <w:sz w:val="16"/>
      </w:rPr>
      <w:tab/>
      <w:t>Tel: +971 4 3611900</w:t>
    </w:r>
  </w:p>
  <w:p>
    <w:pPr>
      <w:tabs>
        <w:tab w:pos="1680" w:val="left"/>
      </w:tabs>
      <w:spacing w:after="0"/>
      <w:ind w:hanging="630"/>
    </w:pPr>
    <w:r>
      <w:rPr>
        <w:rFonts w:ascii="Adani Regular" w:hAnsi="Adani Regular" w:eastAsia="Adani Regular" w:cs="Adani Regular"/>
        <w:b/>
        <w:color w:val="4A442A"/>
        <w:sz w:val="16"/>
      </w:rPr>
      <w:t>Post Box 17186,</w:t>
    </w:r>
    <w:r>
      <w:rPr>
        <w:rFonts w:ascii="Adani Regular" w:hAnsi="Adani Regular" w:eastAsia="Adani Regular" w:cs="Adani Regular"/>
        <w:b/>
        <w:color w:val="4A442A"/>
        <w:sz w:val="16"/>
      </w:rPr>
      <w:tab/>
      <w:t>Fax: +971 4 3689600</w:t>
    </w:r>
  </w:p>
  <w:p>
    <w:pPr>
      <w:tabs>
        <w:tab w:pos="1680" w:val="left"/>
      </w:tabs>
      <w:spacing w:after="0"/>
      <w:ind w:hanging="630"/>
    </w:pPr>
    <w:r>
      <w:rPr>
        <w:rFonts w:ascii="Adani Regular" w:hAnsi="Adani Regular" w:eastAsia="Adani Regular" w:cs="Adani Regular"/>
        <w:b/>
        <w:color w:val="4A442A"/>
        <w:sz w:val="16"/>
      </w:rPr>
      <w:t>Jebel Ali Free Zone,</w:t>
    </w:r>
    <w:r>
      <w:rPr>
        <w:rFonts w:ascii="Adani Regular" w:hAnsi="Adani Regular" w:eastAsia="Adani Regular" w:cs="Adani Regular"/>
        <w:b/>
        <w:color w:val="4A442A"/>
        <w:sz w:val="16"/>
      </w:rPr>
      <w:tab/>
      <w:t>info.dubai@adani.in</w:t>
    </w:r>
  </w:p>
  <w:p>
    <w:pPr>
      <w:tabs>
        <w:tab w:pos="1680" w:val="left"/>
      </w:tabs>
      <w:spacing w:after="0"/>
      <w:ind w:hanging="630"/>
    </w:pPr>
    <w:r>
      <w:rPr>
        <w:rFonts w:ascii="Adani Regular" w:hAnsi="Adani Regular" w:eastAsia="Adani Regular" w:cs="Adani Regular"/>
        <w:b/>
        <w:color w:val="4A442A"/>
        <w:sz w:val="16"/>
      </w:rPr>
      <w:t>Dubai, UAE</w:t>
    </w:r>
    <w:r>
      <w:rPr>
        <w:rFonts w:ascii="Adani Regular" w:hAnsi="Adani Regular" w:eastAsia="Adani Regular" w:cs="Adani Regular"/>
        <w:b/>
        <w:color w:val="4A442A"/>
        <w:sz w:val="16"/>
      </w:rPr>
      <w:tab/>
      <w:t>www.adani.com</w:t>
    </w:r>
  </w:p>
  <w:p>
    <w:pPr>
      <w:spacing w:after="0"/>
      <w:jc w:val="center"/>
    </w:pPr>
    <w:r>
      <w:rPr>
        <w:rFonts w:ascii="Adani Regular" w:hAnsi="Adani Regular" w:eastAsia="Adani Regular" w:cs="Adani Regular"/>
        <w:b/>
        <w:color w:val="808080"/>
        <w:sz w:val="16"/>
      </w:rPr>
      <w:t>ذات مسئولية محدودة تأسست بموجب القانون رقم 9 لسنة 1992</w:t>
    </w:r>
  </w:p>
  <w:p>
    <w:pPr>
      <w:spacing w:after="0"/>
      <w:jc w:val="center"/>
    </w:pPr>
    <w:r>
      <w:rPr>
        <w:rFonts w:ascii="Adani Regular" w:hAnsi="Adani Regular" w:eastAsia="Adani Regular" w:cs="Adani Regular"/>
        <w:b/>
        <w:color w:val="808080"/>
        <w:sz w:val="16"/>
      </w:rPr>
      <w:t>Formed pursuant to Law No.9 of 1992 With Limited Liability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ind w:hanging="720"/>
    </w:pPr>
    <w:r>
      <w:drawing>
        <wp:inline xmlns:a="http://schemas.openxmlformats.org/drawingml/2006/main" xmlns:pic="http://schemas.openxmlformats.org/drawingml/2006/picture">
          <wp:extent cx="1628775" cy="93344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etterhead_logo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28775" cy="93344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 Regular" w:hAnsi="Adani Regular" w:eastAsia="Adani Regular" w:cs="Adani Regular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