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8"/>
        </w:rPr>
        <w:t xml:space="preserve">Annexure 1 – Terms &amp; Conditions </w:t>
      </w:r>
    </w:p>
    <w:p>
      <w:pPr>
        <w:autoSpaceDN w:val="0"/>
        <w:autoSpaceDE w:val="0"/>
        <w:widowControl/>
        <w:spacing w:line="240" w:lineRule="auto" w:before="28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8"/>
        </w:rPr>
        <w:t>1.</w:t>
      </w:r>
      <w:r>
        <w:rPr>
          <w:rFonts w:ascii="" w:hAnsi="" w:eastAsia=""/>
          <w:b/>
          <w:i w:val="0"/>
          <w:color w:val="000000"/>
          <w:sz w:val="28"/>
        </w:rPr>
        <w:t xml:space="preserve">Penalties: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1.</w:t>
      </w:r>
      <w:r>
        <w:rPr>
          <w:rFonts w:ascii="" w:hAnsi="" w:eastAsia=""/>
          <w:b w:val="0"/>
          <w:i w:val="0"/>
          <w:color w:val="000000"/>
          <w:sz w:val="22"/>
        </w:rPr>
        <w:t xml:space="preserve">Purchase Authority will enter into service level agreements related to implementation with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Bidder.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2.</w:t>
      </w:r>
      <w:r>
        <w:rPr>
          <w:rFonts w:ascii="" w:hAnsi="" w:eastAsia=""/>
          <w:b w:val="0"/>
          <w:i w:val="0"/>
          <w:color w:val="000000"/>
          <w:sz w:val="22"/>
        </w:rPr>
        <w:t xml:space="preserve">In case the mandated service levels are not achieved, the user Department shall invoke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performance-related penalties. Payments to the Bidder have been linked to compliance with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Availability metrics. To illustrate the calculation of penalties, an indicative example is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provided below: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1.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payment should be linked to compliance with the Availability metrics. </w:t>
      </w:r>
    </w:p>
    <w:p>
      <w:pPr>
        <w:autoSpaceDN w:val="0"/>
        <w:autoSpaceDE w:val="0"/>
        <w:widowControl/>
        <w:spacing w:line="245" w:lineRule="auto" w:before="278" w:after="0"/>
        <w:ind w:left="144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For ex: For SLA1 if the penalty to be levied is 7% then 7% of the Quarterly Payment is </w:t>
      </w:r>
      <w:r>
        <w:rPr>
          <w:rFonts w:ascii="" w:hAnsi="" w:eastAsia=""/>
          <w:b w:val="0"/>
          <w:i w:val="0"/>
          <w:color w:val="000000"/>
          <w:sz w:val="22"/>
        </w:rPr>
        <w:t xml:space="preserve">deducted from the total of the Quarterly bill and the balance paid to Bidder. </w:t>
      </w:r>
      <w:r>
        <w:rPr>
          <w:rFonts w:ascii="" w:hAnsi="" w:eastAsia=""/>
          <w:b w:val="0"/>
          <w:i w:val="0"/>
          <w:color w:val="000000"/>
          <w:sz w:val="22"/>
        </w:rPr>
        <w:t xml:space="preserve">If the penalties are to be levied in more than one SLA then the total applicable </w:t>
      </w:r>
      <w:r>
        <w:rPr>
          <w:rFonts w:ascii="" w:hAnsi="" w:eastAsia=""/>
          <w:b w:val="0"/>
          <w:i w:val="0"/>
          <w:color w:val="000000"/>
          <w:sz w:val="22"/>
        </w:rPr>
        <w:t xml:space="preserve">penalties are calculated and deducted from the total of the Quarterly bill and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balance paid to the Bidder. </w:t>
      </w:r>
    </w:p>
    <w:p>
      <w:pPr>
        <w:autoSpaceDN w:val="0"/>
        <w:autoSpaceDE w:val="0"/>
        <w:widowControl/>
        <w:spacing w:line="245" w:lineRule="auto" w:before="278" w:after="0"/>
        <w:ind w:left="1440" w:right="26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For ex: SLA1 =7% of the Quarterly Payment, SLA12=10% of the Quarterly Payment, </w:t>
      </w:r>
      <w:r>
        <w:rPr>
          <w:rFonts w:ascii="" w:hAnsi="" w:eastAsia=""/>
          <w:b w:val="0"/>
          <w:i w:val="0"/>
          <w:color w:val="000000"/>
          <w:sz w:val="22"/>
        </w:rPr>
        <w:t xml:space="preserve">SLA19=2% of the Quarterly Payment then, Amount to be paid = Total Quarterly bill – </w:t>
      </w:r>
      <w:r>
        <w:rPr>
          <w:rFonts w:ascii="" w:hAnsi="" w:eastAsia=""/>
          <w:b w:val="0"/>
          <w:i w:val="0"/>
          <w:color w:val="000000"/>
          <w:sz w:val="22"/>
        </w:rPr>
        <w:t xml:space="preserve">{(19% of the Quarterly Payment)}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8"/>
        </w:rPr>
        <w:t>2.</w:t>
      </w:r>
      <w:r>
        <w:rPr>
          <w:rFonts w:ascii="" w:hAnsi="" w:eastAsia=""/>
          <w:b/>
          <w:i w:val="0"/>
          <w:color w:val="000000"/>
          <w:sz w:val="28"/>
        </w:rPr>
        <w:t xml:space="preserve">Payment Terms: </w:t>
      </w:r>
    </w:p>
    <w:p>
      <w:pPr>
        <w:autoSpaceDN w:val="0"/>
        <w:autoSpaceDE w:val="0"/>
        <w:widowControl/>
        <w:spacing w:line="245" w:lineRule="auto" w:before="282" w:after="0"/>
        <w:ind w:left="0" w:right="26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Payment for all resourcing will be made monthly in arrears within 30 days of the bidder raising an </w:t>
      </w:r>
      <w:r>
        <w:rPr>
          <w:rFonts w:ascii="" w:hAnsi="" w:eastAsia=""/>
          <w:b w:val="0"/>
          <w:i w:val="0"/>
          <w:color w:val="000000"/>
          <w:sz w:val="22"/>
        </w:rPr>
        <w:t xml:space="preserve">invoice for the same. The invoice should be accompanied with the approval from the purchase </w:t>
      </w:r>
      <w:r>
        <w:rPr>
          <w:rFonts w:ascii="" w:hAnsi="" w:eastAsia=""/>
          <w:b w:val="0"/>
          <w:i w:val="0"/>
          <w:color w:val="000000"/>
          <w:sz w:val="22"/>
        </w:rPr>
        <w:t xml:space="preserve">authority or its designated approver on number of man-months utilized by the department.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8"/>
        </w:rPr>
        <w:t>3.</w:t>
      </w:r>
      <w:r>
        <w:rPr>
          <w:rFonts w:ascii="" w:hAnsi="" w:eastAsia=""/>
          <w:b/>
          <w:i w:val="0"/>
          <w:color w:val="000000"/>
          <w:sz w:val="28"/>
        </w:rPr>
        <w:t xml:space="preserve">Special Terms and Conditions of Contract </w:t>
      </w:r>
    </w:p>
    <w:p>
      <w:pPr>
        <w:autoSpaceDN w:val="0"/>
        <w:autoSpaceDE w:val="0"/>
        <w:widowControl/>
        <w:spacing w:line="240" w:lineRule="auto" w:before="282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A.</w:t>
      </w:r>
      <w:r>
        <w:rPr>
          <w:rFonts w:ascii="" w:hAnsi="" w:eastAsia=""/>
          <w:b/>
          <w:i w:val="0"/>
          <w:color w:val="000000"/>
          <w:sz w:val="22"/>
        </w:rPr>
        <w:t xml:space="preserve">Management / Transition-Out Services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1.</w:t>
      </w:r>
      <w:r>
        <w:rPr>
          <w:rFonts w:ascii="" w:hAnsi="" w:eastAsia=""/>
          <w:b w:val="0"/>
          <w:i w:val="0"/>
          <w:color w:val="000000"/>
          <w:sz w:val="22"/>
        </w:rPr>
        <w:t xml:space="preserve">Provide a comprehensive exit management plan, with a focus on sustainability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2.</w:t>
      </w:r>
      <w:r>
        <w:rPr>
          <w:rFonts w:ascii="" w:hAnsi="" w:eastAsia=""/>
          <w:b w:val="0"/>
          <w:i w:val="0"/>
          <w:color w:val="000000"/>
          <w:sz w:val="22"/>
        </w:rPr>
        <w:t xml:space="preserve">Ensure that all the documentation required for smooth transition including configuration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documents are kept up to date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3.</w:t>
      </w:r>
      <w:r>
        <w:rPr>
          <w:rFonts w:ascii="" w:hAnsi="" w:eastAsia=""/>
          <w:b w:val="0"/>
          <w:i w:val="0"/>
          <w:color w:val="000000"/>
          <w:sz w:val="22"/>
        </w:rPr>
        <w:t xml:space="preserve">Once the exit process is completed, remove the data, content, and other assets from any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Bidder environment and destroy data of Purchase Authority. </w:t>
      </w:r>
    </w:p>
    <w:p>
      <w:pPr>
        <w:autoSpaceDN w:val="0"/>
        <w:autoSpaceDE w:val="0"/>
        <w:widowControl/>
        <w:spacing w:line="240" w:lineRule="auto" w:before="406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1 </w:t>
      </w:r>
    </w:p>
    <w:sectPr w:rsidR="00FC693F" w:rsidRPr="0006063C" w:rsidSect="00034616">
      <w:pgSz w:w="11900" w:h="16840"/>
      <w:pgMar w:top="722" w:right="1364" w:bottom="352" w:left="1440" w:header="720" w:footer="720" w:gutter="0"/>
      <w:cols w:space="720" w:num="1" w:equalWidth="0">
        <w:col w:w="90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