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6521450</wp:posOffset>
            </wp:positionH>
            <wp:positionV relativeFrom="page">
              <wp:posOffset>9321800</wp:posOffset>
            </wp:positionV>
            <wp:extent cx="381000" cy="381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882650</wp:posOffset>
            </wp:positionH>
            <wp:positionV relativeFrom="page">
              <wp:posOffset>9321800</wp:posOffset>
            </wp:positionV>
            <wp:extent cx="381000" cy="381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2292350</wp:posOffset>
            </wp:positionH>
            <wp:positionV relativeFrom="page">
              <wp:posOffset>9321800</wp:posOffset>
            </wp:positionV>
            <wp:extent cx="381000" cy="381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3702050</wp:posOffset>
            </wp:positionH>
            <wp:positionV relativeFrom="page">
              <wp:posOffset>9321800</wp:posOffset>
            </wp:positionV>
            <wp:extent cx="381000" cy="3810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5111750</wp:posOffset>
            </wp:positionH>
            <wp:positionV relativeFrom="page">
              <wp:posOffset>9321800</wp:posOffset>
            </wp:positionV>
            <wp:extent cx="381000" cy="3810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560"/>
        <w:gridCol w:w="5560"/>
      </w:tblGrid>
      <w:tr>
        <w:trPr>
          <w:trHeight w:hRule="exact" w:val="29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803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0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0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11120"/>
      </w:tblGrid>
      <w:tr>
        <w:trPr>
          <w:trHeight w:hRule="exact" w:val="27911"/>
        </w:trPr>
        <w:tc>
          <w:tcPr>
            <w:tcW w:type="dxa" w:w="10604"/>
            <w:tcBorders>
              <w:start w:sz="12.000000953674316" w:val="single" w:color="#F9C794"/>
              <w:top w:sz="12.000000953674316" w:val="single" w:color="#F9C794"/>
              <w:end w:sz="12.000000953674316" w:val="single" w:color="#F9C79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85900" cy="952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Ministry of Commerce &amp; Industry</w:t>
            </w:r>
          </w:p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40" w:lineRule="auto" w:before="126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2740" cy="33273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332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>Unified Logistics Interface Platform (ULIP)</w:t>
            </w:r>
          </w:p>
          <w:p>
            <w:pPr>
              <w:autoSpaceDN w:val="0"/>
              <w:tabs>
                <w:tab w:pos="792" w:val="left"/>
                <w:tab w:pos="1680" w:val="left"/>
              </w:tabs>
              <w:autoSpaceDE w:val="0"/>
              <w:widowControl/>
              <w:spacing w:line="240" w:lineRule="auto" w:before="0" w:after="0"/>
              <w:ind w:left="0" w:right="576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2740" cy="33273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332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receives tremendous response as 13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>organisations sign Non-Disclosure Agreement</w:t>
            </w:r>
          </w:p>
          <w:p>
            <w:pPr>
              <w:autoSpaceDN w:val="0"/>
              <w:tabs>
                <w:tab w:pos="2356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2740" cy="33401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334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>(NDA) to access data on ULIP</w:t>
            </w:r>
          </w:p>
          <w:p>
            <w:pPr>
              <w:autoSpaceDN w:val="0"/>
              <w:autoSpaceDE w:val="0"/>
              <w:widowControl/>
              <w:spacing w:line="245" w:lineRule="auto" w:before="48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ULIP to bring ease of doing business in logistics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sector by improving efficiency,  simplifying logistics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processes, bringing transparency and reducing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>logistics cost &amp; time</w:t>
            </w:r>
          </w:p>
          <w:p>
            <w:pPr>
              <w:autoSpaceDN w:val="0"/>
              <w:autoSpaceDE w:val="0"/>
              <w:widowControl/>
              <w:spacing w:line="245" w:lineRule="auto" w:before="488" w:after="0"/>
              <w:ind w:left="576" w:right="576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30 systems of seven ministries integrated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>ULIP covering over 1600 data fields</w:t>
            </w:r>
          </w:p>
          <w:p>
            <w:pPr>
              <w:autoSpaceDN w:val="0"/>
              <w:autoSpaceDE w:val="0"/>
              <w:widowControl/>
              <w:spacing w:line="245" w:lineRule="auto" w:before="486" w:after="0"/>
              <w:ind w:left="144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ULIP to provide direct and indirect benefits like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monitoring of cargo movement,  consignment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 xml:space="preserve">tracking, inventory management thereby helping 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45"/>
              </w:rPr>
              <w:t>structured planning to the stakeholders</w:t>
            </w:r>
          </w:p>
          <w:p>
            <w:pPr>
              <w:autoSpaceDN w:val="0"/>
              <w:autoSpaceDE w:val="0"/>
              <w:widowControl/>
              <w:spacing w:line="235" w:lineRule="auto" w:before="46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Posted On: 01 OCT 2022 2:03PM by PIB Delhi</w:t>
            </w:r>
          </w:p>
          <w:p>
            <w:pPr>
              <w:autoSpaceDN w:val="0"/>
              <w:autoSpaceDE w:val="0"/>
              <w:widowControl/>
              <w:spacing w:line="230" w:lineRule="auto" w:before="36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Unified Logistics Interface Platform (ULIP), launched by Prime Minister Shri Narendra Modi, as part of</w:t>
            </w:r>
          </w:p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the ‘National Logistics Policy (NLP)’ on September 17, 2022 is the promising initiative in the logistics</w:t>
            </w:r>
          </w:p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sector that aims to bring ease of doing business in the logistics sector by simplifying the logistics</w:t>
            </w:r>
          </w:p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processes, improving its efficiency, bringing in transparency and visibility, and reducing logistics cost &amp;</w:t>
            </w:r>
          </w:p>
          <w:p>
            <w:pPr>
              <w:autoSpaceDN w:val="0"/>
              <w:autoSpaceDE w:val="0"/>
              <w:widowControl/>
              <w:spacing w:line="230" w:lineRule="auto" w:before="80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time. </w:t>
            </w:r>
          </w:p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The Platform is receiving tremendous response from the industry. Till date, 13 organisations -</w:t>
            </w:r>
          </w:p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MapMyIndia, Ca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rgoExchange, Freight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Fox, Conmove, Intugin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e, Eikonatech, Yes Ba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nk, Superprocure,</w:t>
            </w:r>
          </w:p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CargoShakti, Clo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udStrats, Shyplite, AP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SEZL, and AITWA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have signed Non-Disc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losure Agreement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90" w:right="540" w:bottom="0" w:left="580" w:header="720" w:footer="720" w:gutter="0"/>
          <w:cols w:space="720" w:num="1" w:equalWidth="0">
            <w:col w:w="1112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1158240</wp:posOffset>
            </wp:positionV>
            <wp:extent cx="332740" cy="33274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27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1663700</wp:posOffset>
            </wp:positionV>
            <wp:extent cx="332740" cy="33274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27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2167890</wp:posOffset>
            </wp:positionV>
            <wp:extent cx="332740" cy="33274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27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2673350</wp:posOffset>
            </wp:positionV>
            <wp:extent cx="332740" cy="33274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274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11120"/>
      </w:tblGrid>
      <w:tr>
        <w:trPr>
          <w:trHeight w:hRule="exact" w:val="27931"/>
        </w:trPr>
        <w:tc>
          <w:tcPr>
            <w:tcW w:type="dxa" w:w="10604"/>
            <w:tcBorders>
              <w:start w:sz="12.000000953674316" w:val="single" w:color="#F9C794"/>
              <w:end w:sz="12.000000953674316" w:val="single" w:color="#F9C794"/>
              <w:bottom w:sz="12.000000953674316" w:val="single" w:color="#F9C79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434" w:after="0"/>
              <w:ind w:left="23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(NDA) to access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data on ULIP. NDAs w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ith 11 more organisatio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ns like Instavans &amp; Tr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ucks, Bosch India,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Portlinks, Shiprocket, etc. are in the process.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2740" cy="33274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332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232" w:right="23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startups are gearing-up to showcase their innovative ideas for creating new solutions for the sector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whereas large enterprises are mulling to integrate with ULIP for simplifying complex logistics processes,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verifying the documents of vendors as well as to get visibility of cargo movement.</w:t>
            </w:r>
          </w:p>
          <w:p>
            <w:pPr>
              <w:autoSpaceDN w:val="0"/>
              <w:autoSpaceDE w:val="0"/>
              <w:widowControl/>
              <w:spacing w:line="283" w:lineRule="auto" w:before="230" w:after="0"/>
              <w:ind w:left="232" w:right="19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ULIP platform will enable the industry players to get secure access to the  information related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logistics and resources available with various Ministries. At present 30 systems from seven ministries are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integrated through more than 100 APIs covering more than 1600 data fields for usage by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stakeholders.</w:t>
            </w:r>
          </w:p>
          <w:p>
            <w:pPr>
              <w:autoSpaceDN w:val="0"/>
              <w:autoSpaceDE w:val="0"/>
              <w:widowControl/>
              <w:spacing w:line="290" w:lineRule="auto" w:before="230" w:after="0"/>
              <w:ind w:left="232" w:right="23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ULIP has a dedicated portal that makes the process of data request simpler, faster, and transparent.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portal can be accessed through “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https://goulip.in/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”. A dedicated support team is working round the clock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provide support to the industry players for registration on the portal. After the registration, users need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submit their use-cases, which will then be reviewed based on the proposed usage of the requested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data. After the successful review, users requesting for data will have to sign a ‘Non-Disclosure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Agreement (NDA)’. With signing of the NDAs, industry players can develop APIs for integration with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ULIP. After the system security check and thorough testing of the integration, the users can fetch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authentic data through ULIP from various government sources.</w:t>
            </w:r>
          </w:p>
          <w:p>
            <w:pPr>
              <w:autoSpaceDN w:val="0"/>
              <w:autoSpaceDE w:val="0"/>
              <w:widowControl/>
              <w:spacing w:line="288" w:lineRule="auto" w:before="214" w:after="0"/>
              <w:ind w:left="232" w:right="19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ULIP will give direct and indirect benefits to all logistics stakeholders like verification of drivers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vehicles details in a single click, tracking &amp; tracing of consignment, Route Optimization Planning, timely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update on the destination of the consignment, reduce paper works, empty carrier &amp; container visibility,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inventory management etc. By reducing regulatory, documentary and other delays, ULIP will enable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structured planning by helping in decision making on optimum use of modes of logistics thereby saving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cost and time.</w:t>
            </w:r>
          </w:p>
          <w:p>
            <w:pPr>
              <w:autoSpaceDN w:val="0"/>
              <w:autoSpaceDE w:val="0"/>
              <w:widowControl/>
              <w:spacing w:line="286" w:lineRule="auto" w:before="216" w:after="0"/>
              <w:ind w:left="232" w:right="19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With democratisation of the information, ULIP aims to enable the industry players for creating a market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revenue generation as well as abolition of monopoly and un-levelled advantage. Achieving positive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results at granular and individual level will have a tremendous constructive impact on the overall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logistics sector of India along with Logistics Cost percentage of GDP and enhancement in the global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logistics indices of India.</w:t>
            </w:r>
          </w:p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*****</w:t>
            </w:r>
          </w:p>
          <w:p>
            <w:pPr>
              <w:autoSpaceDN w:val="0"/>
              <w:autoSpaceDE w:val="0"/>
              <w:widowControl/>
              <w:spacing w:line="230" w:lineRule="auto" w:before="214" w:after="0"/>
              <w:ind w:left="23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AD/KP/MS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2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(Release ID: 1864095) Visitor Counter : 998 </w:t>
            </w:r>
          </w:p>
          <w:p>
            <w:pPr>
              <w:autoSpaceDN w:val="0"/>
              <w:autoSpaceDE w:val="0"/>
              <w:widowControl/>
              <w:spacing w:line="235" w:lineRule="auto" w:before="564" w:after="0"/>
              <w:ind w:left="23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Read this release in: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hyperlink r:id="rId20" w:history="1">
                <w:r>
                  <w:rPr>
                    <w:rStyle w:val="Hyperlink"/>
                  </w:rPr>
                  <w:t xml:space="preserve">Urdu 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hyperlink r:id="rId21" w:history="1">
                <w:r>
                  <w:rPr>
                    <w:rStyle w:val="Hyperlink"/>
                  </w:rPr>
                  <w:t xml:space="preserve">Marathi 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hyperlink r:id="rId22" w:history="1">
                <w:r>
                  <w:rPr>
                    <w:rStyle w:val="Hyperlink"/>
                  </w:rPr>
                  <w:t xml:space="preserve">Hindi 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hyperlink r:id="rId23" w:history="1">
                <w:r>
                  <w:rPr>
                    <w:rStyle w:val="Hyperlink"/>
                  </w:rPr>
                  <w:t>Telugu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5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224"/>
        <w:gridCol w:w="2224"/>
        <w:gridCol w:w="2224"/>
        <w:gridCol w:w="2224"/>
        <w:gridCol w:w="2224"/>
      </w:tblGrid>
      <w:tr>
        <w:trPr>
          <w:trHeight w:hRule="exact" w:val="67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540" w:bottom="242" w:left="580" w:header="720" w:footer="720" w:gutter="0"/>
          <w:cols w:space="720" w:num="1" w:equalWidth="0">
            <w:col w:w="11120" w:space="0"/>
            <w:col w:w="11120" w:space="0"/>
          </w:cols>
          <w:docGrid w:linePitch="360"/>
        </w:sectPr>
      </w:pPr>
    </w:p>
    <w:p>
      <w:pPr>
        <w:autoSpaceDN w:val="0"/>
        <w:autoSpaceDE w:val="0"/>
        <w:widowControl/>
        <w:spacing w:line="287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224"/>
        <w:gridCol w:w="2224"/>
        <w:gridCol w:w="2224"/>
        <w:gridCol w:w="2224"/>
        <w:gridCol w:w="2224"/>
      </w:tblGrid>
      <w:tr>
        <w:trPr>
          <w:trHeight w:hRule="exact" w:val="700"/>
        </w:trPr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540" w:bottom="1440" w:left="580" w:header="720" w:footer="720" w:gutter="0"/>
      <w:cols w:space="720" w:num="1" w:equalWidth="0">
        <w:col w:w="11120" w:space="0"/>
        <w:col w:w="11120" w:space="0"/>
        <w:col w:w="111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twitter.com/intent/tweet?url=https://pib.gov.in/PressReleasePage.aspx?PRID=1864095&amp;text=Unified%20Logistics%20Interface%20Platform%20(ULIP)%20receives%20tremendous%20response%20as%2013%20organisations%20sign%20Non-Disclosure%20Agreement%20(NDA)%20to%20access%20data%20on%20ULIP" TargetMode="External"/><Relationship Id="rId16" Type="http://schemas.openxmlformats.org/officeDocument/2006/relationships/hyperlink" Target="https://api.whatsapp.com/send?text=https://pib.gov.in/PressReleasePage.aspx?PRID=1864095" TargetMode="External"/><Relationship Id="rId17" Type="http://schemas.openxmlformats.org/officeDocument/2006/relationships/hyperlink" Target="https://mail.google.com/mail/?view=cm&amp;fs=1&amp;tf=1&amp;to=&amp;su=Unified%20Logistics%20Interface%20Platform%20(ULIP)%20receives%20tremendous%20response%20as%2013%20organisations%20sign%20Non-Disclosure%20Agreement%20(NDA)%20to%20access%20data%20on%20ULIP&amp;body=https://pib.gov.in/PressReleasePage.aspx?PRID=1864095&amp;ui=2&amp;tf=1&amp;pli=1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pib.gov.in/PressReleasePage.aspx?PRID=1864225" TargetMode="External"/><Relationship Id="rId21" Type="http://schemas.openxmlformats.org/officeDocument/2006/relationships/hyperlink" Target="https://pib.gov.in/PressReleasePage.aspx?PRID=1864167" TargetMode="External"/><Relationship Id="rId22" Type="http://schemas.openxmlformats.org/officeDocument/2006/relationships/hyperlink" Target="https://pib.gov.in/PressReleasePage.aspx?PRID=1864136" TargetMode="External"/><Relationship Id="rId23" Type="http://schemas.openxmlformats.org/officeDocument/2006/relationships/hyperlink" Target="https://pib.gov.in/PressReleasePage.aspx?PRID=1864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