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Investor Dashboard — Architecture &amp; Infrastructure</w:t>
      </w:r>
    </w:p>
    <w:p>
      <w:pPr/>
      <w:r>
        <w:t xml:space="preserve">Oct 3, 2026</w:t>
      </w:r>
      <w:r>
        <w:t xml:space="preserve"> · </w:t>
      </w:r>
      <w:r>
        <w:t xml:space="preserve">@Ram Prasad Vellamsetti</w:t>
      </w:r>
    </w:p>
    <w:p>
      <w:pPr>
        <w:pStyle w:val="Heading2"/>
      </w:pPr>
      <w:r>
        <w:t xml:space="preserve">Summary</w:t>
      </w:r>
    </w:p>
    <w:p>
      <w:pPr/>
      <w:r>
        <w:t xml:space="preserve">Run the whole system serverless on AWS: EventBridge Scheduler wakes one Python Lambda per batch job, the jobs land data as Parquet files in S3, and a static dashboard on CloudFront reads small precomputed JSON files. There is no server or database running 24/7, so the expected bill is </w:t>
      </w:r>
      <w:r>
        <w:rPr>
          <w:b/>
        </w:rPr>
        <w:t xml:space="preserve">about $0.25 a month including monitoring and alerts (≈$1.60 with a custom domain)</w:t>
      </w:r>
      <w:r>
        <w:t xml:space="preserve">, nearly all of it inside AWS free tiers.</w:t>
      </w:r>
    </w:p>
    <w:p>
      <w:pPr>
        <w:pStyle w:val="ListParagraph"/>
        <w:numPr>
          <w:ilvl w:val="0"/>
          <w:numId w:val="2"/>
        </w:numPr>
      </w:pPr>
      <w:r>
        <w:rPr>
          <w:b/>
        </w:rPr>
        <w:t xml:space="preserve">Why it fits:</w:t>
      </w:r>
      <w:r>
        <w:t xml:space="preserve"> the catalog's 15 batch jobs make about 8,200 API calls and roughly 1,200 job runs a month. That is a tiny, bursty workload — the shape serverless is cheapest at.</w:t>
      </w:r>
    </w:p>
    <w:p>
      <w:pPr>
        <w:pStyle w:val="ListParagraph"/>
        <w:numPr>
          <w:ilvl w:val="0"/>
          <w:numId w:val="2"/>
        </w:numPr>
      </w:pPr>
      <w:r>
        <w:rPr>
          <w:b/>
        </w:rPr>
        <w:t xml:space="preserve">Why no database server:</w:t>
      </w:r>
      <w:r>
        <w:t xml:space="preserve"> the data is small (well under 2 GB after a year) and append-only. Parquet on S3, queried with DuckDB, does the job of a warehouse at storage prices.</w:t>
      </w:r>
    </w:p>
    <w:p>
      <w:pPr>
        <w:pStyle w:val="ListParagraph"/>
        <w:numPr>
          <w:ilvl w:val="0"/>
          <w:numId w:val="2"/>
        </w:numPr>
      </w:pPr>
      <w:r>
        <w:rPr>
          <w:b/>
        </w:rPr>
        <w:t xml:space="preserve">Why static pages:</w:t>
      </w:r>
      <w:r>
        <w:t xml:space="preserve"> nothing changes faster than hourly, so the browser checks one small manifest file each minute instead of holding a live connection.</w:t>
      </w:r>
    </w:p>
    <w:p>
      <w:pPr>
        <w:pStyle w:val="ListParagraph"/>
        <w:numPr>
          <w:ilvl w:val="0"/>
          <w:numId w:val="2"/>
        </w:numPr>
      </w:pPr>
      <w:r>
        <w:rPr>
          <w:b/>
        </w:rPr>
        <w:t xml:space="preserve">Upgrade path:</w:t>
      </w:r>
      <w:r>
        <w:t xml:space="preserve"> if you later want ad-hoc SQL from many tools or sub-hourly data, add a small managed Postgres (≈$15/mo, approximate) without changing the collectors.</w:t>
      </w:r>
    </w:p>
    <w:p>
      <w:pPr/>
      <w:r>
        <w:rPr>
          <w:b/>
        </w:rPr>
        <w:t xml:space="preserve">Chosen baseline: FedRAMP Moderate.</w:t>
      </w:r>
      <w:r>
        <w:t xml:space="preserve"> Adding the Moderate security, audit and reliability controls brings the total to about $21–35 a month (typically ~$27). The section "FedRAMP Moderate alignment" has the details and the Terraform starter. Multi-user sign-in, preferences and the trend jobs add about $1.20 a month (see "Users, preferences and trend analytics").</w:t>
      </w:r>
    </w:p>
    <w:p>
      <w:pPr>
        <w:pStyle w:val="Heading2"/>
      </w:pPr>
      <w:r>
        <w:t xml:space="preserve">Requirements and constraints</w:t>
      </w:r>
    </w:p>
    <w:p>
      <w:pPr/>
      <w:r>
        <w:t xml:space="preserve">The design works to the limits set in the data-source catalog: free data tiers only, nothing polled more than hourly, no runs on weekends or holidays.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Value</w:t>
            </w:r>
          </w:p>
        </w:tc>
        <w:tc>
          <w:tcPr>
            <w:tcW w:w="3120" w:type="dxa"/>
            <w:shd w:val="clear" w:color="auto" w:fill="F2F2F2"/>
          </w:tcPr>
          <w:p>
            <w:pPr/>
            <w:r>
              <w:t xml:space="preserve">Design consequence</w:t>
            </w:r>
          </w:p>
        </w:tc>
      </w:tr>
      <w:tr>
        <w:tc>
          <w:tcPr>
            <w:tcW w:w="3120" w:type="dxa"/>
          </w:tcPr>
          <w:p>
            <w:pPr/>
            <w:r>
              <w:t xml:space="preserve">Sources</w:t>
            </w:r>
          </w:p>
        </w:tc>
        <w:tc>
          <w:tcPr>
            <w:tcW w:w="3120" w:type="dxa"/>
          </w:tcPr>
          <w:p>
            <w:pPr/>
            <w:r>
              <w:t xml:space="preserve">84 catalogued, about 60 collected</w:t>
            </w:r>
          </w:p>
        </w:tc>
        <w:tc>
          <w:tcPr>
            <w:tcW w:w="3120" w:type="dxa"/>
          </w:tcPr>
          <w:p>
            <w:pPr/>
            <w:r>
              <w:t xml:space="preserve">One adapter per source, driven by a config file</w:t>
            </w:r>
          </w:p>
        </w:tc>
      </w:tr>
      <w:tr>
        <w:tc>
          <w:tcPr>
            <w:tcW w:w="3120" w:type="dxa"/>
          </w:tcPr>
          <w:p>
            <w:pPr/>
            <w:r>
              <w:t xml:space="preserve">Batch jobs</w:t>
            </w:r>
          </w:p>
        </w:tc>
        <w:tc>
          <w:tcPr>
            <w:tcW w:w="3120" w:type="dxa"/>
          </w:tcPr>
          <w:p>
            <w:pPr/>
            <w:r>
              <w:t xml:space="preserve">15 (H1–H3, D1–D5, W1, M1, C1, Q1, A1, O1, F1)</w:t>
            </w:r>
          </w:p>
        </w:tc>
        <w:tc>
          <w:tcPr>
            <w:tcW w:w="3120" w:type="dxa"/>
          </w:tcPr>
          <w:p>
            <w:pPr/>
            <w:r>
              <w:t xml:space="preserve">One scheduled function per job</w:t>
            </w:r>
          </w:p>
        </w:tc>
      </w:tr>
      <w:tr>
        <w:tc>
          <w:tcPr>
            <w:tcW w:w="3120" w:type="dxa"/>
          </w:tcPr>
          <w:p>
            <w:pPr/>
            <w:r>
              <w:t xml:space="preserve">API calls</w:t>
            </w:r>
          </w:p>
        </w:tc>
        <w:tc>
          <w:tcPr>
            <w:tcW w:w="3120" w:type="dxa"/>
          </w:tcPr>
          <w:p>
            <w:pPr/>
            <w:r>
              <w:t xml:space="preserve">~8,200 a month, ~270 a day</w:t>
            </w:r>
          </w:p>
        </w:tc>
        <w:tc>
          <w:tcPr>
            <w:tcW w:w="3120" w:type="dxa"/>
          </w:tcPr>
          <w:p>
            <w:pPr/>
            <w:r>
              <w:t xml:space="preserve">Fits every provider's free limit; a rate limiter per provider keeps it there</w:t>
            </w:r>
          </w:p>
        </w:tc>
      </w:tr>
      <w:tr>
        <w:tc>
          <w:tcPr>
            <w:tcW w:w="3120" w:type="dxa"/>
          </w:tcPr>
          <w:p>
            <w:pPr/>
            <w:r>
              <w:t xml:space="preserve">Freshest data</w:t>
            </w:r>
          </w:p>
        </w:tc>
        <w:tc>
          <w:tcPr>
            <w:tcW w:w="3120" w:type="dxa"/>
          </w:tcPr>
          <w:p>
            <w:pPr/>
            <w:r>
              <w:t xml:space="preserve">Hourly (prices, news, filings)</w:t>
            </w:r>
          </w:p>
        </w:tc>
        <w:tc>
          <w:tcPr>
            <w:tcW w:w="3120" w:type="dxa"/>
          </w:tcPr>
          <w:p>
            <w:pPr/>
            <w:r>
              <w:t xml:space="preserve">No streaming, no websockets</w:t>
            </w:r>
          </w:p>
        </w:tc>
      </w:tr>
      <w:tr>
        <w:tc>
          <w:tcPr>
            <w:tcW w:w="3120" w:type="dxa"/>
          </w:tcPr>
          <w:p>
            <w:pPr/>
            <w:r>
              <w:t xml:space="preserve">Holiday rules</w:t>
            </w:r>
          </w:p>
        </w:tc>
        <w:tc>
          <w:tcPr>
            <w:tcW w:w="3120" w:type="dxa"/>
          </w:tcPr>
          <w:p>
            <w:pPr/>
            <w:r>
              <w:t xml:space="preserve">NYSE, SIFMA, US federal, China, Netherlands calendars</w:t>
            </w:r>
          </w:p>
        </w:tc>
        <w:tc>
          <w:tcPr>
            <w:tcW w:w="3120" w:type="dxa"/>
          </w:tcPr>
          <w:p>
            <w:pPr/>
            <w:r>
              <w:t xml:space="preserve">A calendar check runs before every job</w:t>
            </w:r>
          </w:p>
        </w:tc>
      </w:tr>
      <w:tr>
        <w:tc>
          <w:tcPr>
            <w:tcW w:w="3120" w:type="dxa"/>
          </w:tcPr>
          <w:p>
            <w:pPr/>
            <w:r>
              <w:t xml:space="preserve">Release-day jobs</w:t>
            </w:r>
          </w:p>
        </w:tc>
        <w:tc>
          <w:tcPr>
            <w:tcW w:w="3120" w:type="dxa"/>
          </w:tcPr>
          <w:p>
            <w:pPr/>
            <w:r>
              <w:t xml:space="preserve">CPI, PCE, trade, FOMC days</w:t>
            </w:r>
          </w:p>
        </w:tc>
        <w:tc>
          <w:tcPr>
            <w:tcW w:w="3120" w:type="dxa"/>
          </w:tcPr>
          <w:p>
            <w:pPr/>
            <w:r>
              <w:t xml:space="preserve">One-off schedules created from the D1 calendar pull</w:t>
            </w:r>
          </w:p>
        </w:tc>
      </w:tr>
      <w:tr>
        <w:tc>
          <w:tcPr>
            <w:tcW w:w="3120" w:type="dxa"/>
          </w:tcPr>
          <w:p>
            <w:pPr/>
            <w:r>
              <w:t xml:space="preserve">Users</w:t>
            </w:r>
          </w:p>
        </w:tc>
        <w:tc>
          <w:tcPr>
            <w:tcW w:w="3120" w:type="dxa"/>
          </w:tcPr>
          <w:p>
            <w:pPr/>
            <w:r>
              <w:t xml:space="preserve">One (you), maybe a few family viewers</w:t>
            </w:r>
          </w:p>
        </w:tc>
        <w:tc>
          <w:tcPr>
            <w:tcW w:w="3120" w:type="dxa"/>
          </w:tcPr>
          <w:p>
            <w:pPr/>
            <w:r>
              <w:t xml:space="preserve">Static site with login, no app server</w:t>
            </w:r>
          </w:p>
        </w:tc>
      </w:tr>
      <w:tr>
        <w:tc>
          <w:tcPr>
            <w:tcW w:w="3120" w:type="dxa"/>
          </w:tcPr>
          <w:p>
            <w:pPr/>
            <w:r>
              <w:t xml:space="preserve">Data budget</w:t>
            </w:r>
          </w:p>
        </w:tc>
        <w:tc>
          <w:tcPr>
            <w:tcW w:w="3120" w:type="dxa"/>
          </w:tcPr>
          <w:p>
            <w:pPr/>
            <w:r>
              <w:t xml:space="preserve">$0</w:t>
            </w:r>
          </w:p>
        </w:tc>
        <w:tc>
          <w:tcPr>
            <w:tcW w:w="3120" w:type="dxa"/>
          </w:tcPr>
          <w:p>
            <w:pPr/>
            <w:r>
              <w:t xml:space="preserve">Hosting must also stay near zero</w:t>
            </w:r>
          </w:p>
        </w:tc>
      </w:tr>
    </w:tbl>
    <w:p>
      <w:pPr>
        <w:pStyle w:val="Heading2"/>
      </w:pPr>
      <w:r>
        <w:t xml:space="preserve">Architecture overview</w:t>
      </w:r>
    </w:p>
    <w:p>
      <w:pPr/>
      <w:r>
        <w:drawing>
          <wp:inline distT="0" distB="0" distL="0" distR="0">
            <wp:extent cx="5486400" cy="3894364"/>
            <wp:docPr id="1" name="image1" descr="architecture · collection, storage and serving"/>
            <a:graphic xmlns:a="http://schemas.openxmlformats.org/drawingml/2006/main">
              <a:graphicData uri="http://schemas.openxmlformats.org/drawingml/2006/picture">
                <pic:pic xmlns:pic="http://schemas.openxmlformats.org/drawingml/2006/picture">
                  <pic:nvPicPr>
                    <pic:cNvPr id="1" name="image1" descr="architecture · collection, storage and serving"/>
                    <pic:cNvPicPr/>
                  </pic:nvPicPr>
                  <pic:blipFill>
                    <a:blip r:embed="rId3"/>
                    <a:stretch>
                      <a:fillRect/>
                    </a:stretch>
                  </pic:blipFill>
                  <pic:spPr>
                    <a:xfrm>
                      <a:off x="0" y="0"/>
                      <a:ext cx="5486400" cy="3894364"/>
                    </a:xfrm>
                    <a:prstGeom prst="rect">
                      <a:avLst/>
                    </a:prstGeom>
                  </pic:spPr>
                </pic:pic>
              </a:graphicData>
            </a:graphic>
          </wp:inline>
        </w:drawing>
      </w:r>
    </w:p>
    <w:p>
      <w:pPr/>
      <w:r>
        <w:t xml:space="preserve">architecture · collection, storage and serving</w:t>
      </w:r>
    </w:p>
    <w:p>
      <w:pPr/>
      <w:r>
        <w:t xml:space="preserve">Data moves one way: the scheduler starts a collector, the collector writes raw and curated files, a build step turns them into panel files, and the browser reads only those. Because the browser never queries the lake directly, the page stays fast and nothing needs to run between jobs.</w:t>
      </w:r>
    </w:p>
    <w:p>
      <w:pPr>
        <w:pStyle w:val="Heading2"/>
      </w:pPr>
      <w:r>
        <w:t xml:space="preserve">Design patterns</w:t>
      </w:r>
    </w:p>
    <w:p>
      <w:pPr/>
      <w:r>
        <w:t xml:space="preserve">Eight patterns cover the whole system; each one solves a specific problem in the catalog.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Pattern</w:t>
            </w:r>
          </w:p>
        </w:tc>
        <w:tc>
          <w:tcPr>
            <w:tcW w:w="3120" w:type="dxa"/>
            <w:shd w:val="clear" w:color="auto" w:fill="F2F2F2"/>
          </w:tcPr>
          <w:p>
            <w:pPr/>
            <w:r>
              <w:t xml:space="preserve">Where</w:t>
            </w:r>
          </w:p>
        </w:tc>
        <w:tc>
          <w:tcPr>
            <w:tcW w:w="3120" w:type="dxa"/>
            <w:shd w:val="clear" w:color="auto" w:fill="F2F2F2"/>
          </w:tcPr>
          <w:p>
            <w:pPr/>
            <w:r>
              <w:t xml:space="preserve">Problem it solves</w:t>
            </w:r>
          </w:p>
        </w:tc>
      </w:tr>
      <w:tr>
        <w:tc>
          <w:tcPr>
            <w:tcW w:w="3120" w:type="dxa"/>
          </w:tcPr>
          <w:p>
            <w:pPr/>
            <w:r>
              <w:t xml:space="preserve">Config-driven registry</w:t>
            </w:r>
          </w:p>
        </w:tc>
        <w:tc>
          <w:tcPr>
            <w:tcW w:w="3120" w:type="dxa"/>
          </w:tcPr>
          <w:p>
            <w:pPr/>
            <w:r>
              <w:rPr>
                <w:rStyle w:val="CodeChar"/>
              </w:rPr>
              <w:t xml:space="preserve">sources.yaml</w:t>
            </w:r>
            <w:r>
              <w:t xml:space="preserve"> built from the catalog</w:t>
            </w:r>
          </w:p>
        </w:tc>
        <w:tc>
          <w:tcPr>
            <w:tcW w:w="3120" w:type="dxa"/>
          </w:tcPr>
          <w:p>
            <w:pPr/>
            <w:r>
              <w:t xml:space="preserve">Adding or moving a source is a config change, not a code change</w:t>
            </w:r>
          </w:p>
        </w:tc>
      </w:tr>
      <w:tr>
        <w:tc>
          <w:tcPr>
            <w:tcW w:w="3120" w:type="dxa"/>
          </w:tcPr>
          <w:p>
            <w:pPr/>
            <w:r>
              <w:t xml:space="preserve">Adapter (strategy) per source</w:t>
            </w:r>
          </w:p>
        </w:tc>
        <w:tc>
          <w:tcPr>
            <w:tcW w:w="3120" w:type="dxa"/>
          </w:tcPr>
          <w:p>
            <w:pPr/>
            <w:r>
              <w:rPr>
                <w:rStyle w:val="CodeChar"/>
              </w:rPr>
              <w:t xml:space="preserve">fetch(since) → raw</w:t>
            </w:r>
            <w:r>
              <w:t xml:space="preserve">, </w:t>
            </w:r>
            <w:r>
              <w:rPr>
                <w:rStyle w:val="CodeChar"/>
              </w:rPr>
              <w:t xml:space="preserve">parse(raw) → records</w:t>
            </w:r>
          </w:p>
        </w:tc>
        <w:tc>
          <w:tcPr>
            <w:tcW w:w="3120" w:type="dxa"/>
          </w:tcPr>
          <w:p>
            <w:pPr/>
            <w:r>
              <w:t xml:space="preserve">60 sources with JSON, RSS, CSV, XLSX and HTML formats share one job runner</w:t>
            </w:r>
          </w:p>
        </w:tc>
      </w:tr>
      <w:tr>
        <w:tc>
          <w:tcPr>
            <w:tcW w:w="3120" w:type="dxa"/>
          </w:tcPr>
          <w:p>
            <w:pPr/>
            <w:r>
              <w:t xml:space="preserve">Calendar guard</w:t>
            </w:r>
          </w:p>
        </w:tc>
        <w:tc>
          <w:tcPr>
            <w:tcW w:w="3120" w:type="dxa"/>
          </w:tcPr>
          <w:p>
            <w:pPr/>
            <w:r>
              <w:t xml:space="preserve">Decorator on every job</w:t>
            </w:r>
          </w:p>
        </w:tc>
        <w:tc>
          <w:tcPr>
            <w:tcW w:w="3120" w:type="dxa"/>
          </w:tcPr>
          <w:p>
            <w:pPr/>
            <w:r>
              <w:t xml:space="preserve">Skips NYSE, SIFMA, federal, China and Netherlands holidays in one place</w:t>
            </w:r>
          </w:p>
        </w:tc>
      </w:tr>
      <w:tr>
        <w:tc>
          <w:tcPr>
            <w:tcW w:w="3120" w:type="dxa"/>
          </w:tcPr>
          <w:p>
            <w:pPr/>
            <w:r>
              <w:t xml:space="preserve">Watermark catch-up</w:t>
            </w:r>
          </w:p>
        </w:tc>
        <w:tc>
          <w:tcPr>
            <w:tcW w:w="3120" w:type="dxa"/>
          </w:tcPr>
          <w:p>
            <w:pPr/>
            <w:r>
              <w:t xml:space="preserve">Last-success timestamp per source</w:t>
            </w:r>
          </w:p>
        </w:tc>
        <w:tc>
          <w:tcPr>
            <w:tcW w:w="3120" w:type="dxa"/>
          </w:tcPr>
          <w:p>
            <w:pPr/>
            <w:r>
              <w:t xml:space="preserve">The first run after a weekend or outage pulls everything missed</w:t>
            </w:r>
          </w:p>
        </w:tc>
      </w:tr>
      <w:tr>
        <w:tc>
          <w:tcPr>
            <w:tcW w:w="3120" w:type="dxa"/>
          </w:tcPr>
          <w:p>
            <w:pPr/>
            <w:r>
              <w:t xml:space="preserve">Idempotent upsert</w:t>
            </w:r>
          </w:p>
        </w:tc>
        <w:tc>
          <w:tcPr>
            <w:tcW w:w="3120" w:type="dxa"/>
          </w:tcPr>
          <w:p>
            <w:pPr/>
            <w:r>
              <w:t xml:space="preserve">Natural keys (ticker + bar time, series + date, URL hash)</w:t>
            </w:r>
          </w:p>
        </w:tc>
        <w:tc>
          <w:tcPr>
            <w:tcW w:w="3120" w:type="dxa"/>
          </w:tcPr>
          <w:p>
            <w:pPr/>
            <w:r>
              <w:t xml:space="preserve">Retries and catch-ups never create duplicates</w:t>
            </w:r>
          </w:p>
        </w:tc>
      </w:tr>
      <w:tr>
        <w:tc>
          <w:tcPr>
            <w:tcW w:w="3120" w:type="dxa"/>
          </w:tcPr>
          <w:p>
            <w:pPr/>
            <w:r>
              <w:t xml:space="preserve">Failover chain + circuit breaker</w:t>
            </w:r>
          </w:p>
        </w:tc>
        <w:tc>
          <w:tcPr>
            <w:tcW w:w="3120" w:type="dxa"/>
          </w:tcPr>
          <w:p>
            <w:pPr/>
            <w:r>
              <w:t xml:space="preserve">Primary → F1 backups (e.g. Alpaca → Massive → Finnhub)</w:t>
            </w:r>
          </w:p>
        </w:tc>
        <w:tc>
          <w:tcPr>
            <w:tcW w:w="3120" w:type="dxa"/>
          </w:tcPr>
          <w:p>
            <w:pPr/>
            <w:r>
              <w:t xml:space="preserve">A failing source is skipped after 3 errors and a backup fills in</w:t>
            </w:r>
          </w:p>
        </w:tc>
      </w:tr>
      <w:tr>
        <w:tc>
          <w:tcPr>
            <w:tcW w:w="3120" w:type="dxa"/>
          </w:tcPr>
          <w:p>
            <w:pPr/>
            <w:r>
              <w:t xml:space="preserve">Token-bucket rate limiter</w:t>
            </w:r>
          </w:p>
        </w:tc>
        <w:tc>
          <w:tcPr>
            <w:tcW w:w="3120" w:type="dxa"/>
          </w:tcPr>
          <w:p>
            <w:pPr/>
            <w:r>
              <w:t xml:space="preserve">Per provider, counter in S3</w:t>
            </w:r>
          </w:p>
        </w:tc>
        <w:tc>
          <w:tcPr>
            <w:tcW w:w="3120" w:type="dxa"/>
          </w:tcPr>
          <w:p>
            <w:pPr/>
            <w:r>
              <w:t xml:space="preserve">Stays under limits like Alpha Vantage 25/day and SAM.gov 10/day</w:t>
            </w:r>
          </w:p>
        </w:tc>
      </w:tr>
      <w:tr>
        <w:tc>
          <w:tcPr>
            <w:tcW w:w="3120" w:type="dxa"/>
          </w:tcPr>
          <w:p>
            <w:pPr/>
            <w:r>
              <w:t xml:space="preserve">Medallion layers + read model (CQRS)</w:t>
            </w:r>
          </w:p>
        </w:tc>
        <w:tc>
          <w:tcPr>
            <w:tcW w:w="3120" w:type="dxa"/>
          </w:tcPr>
          <w:p>
            <w:pPr/>
            <w:r>
              <w:t xml:space="preserve">raw → curated → serving</w:t>
            </w:r>
          </w:p>
        </w:tc>
        <w:tc>
          <w:tcPr>
            <w:tcW w:w="3120" w:type="dxa"/>
          </w:tcPr>
          <w:p>
            <w:pPr/>
            <w:r>
              <w:t xml:space="preserve">Raw payloads can be replayed; the dashboard reads small, precomputed files only</w:t>
            </w:r>
          </w:p>
        </w:tc>
      </w:tr>
    </w:tbl>
    <w:p>
      <w:pPr/>
      <w:r>
        <w:t xml:space="preserve">Release days use one more pattern: </w:t>
      </w:r>
      <w:r>
        <w:rPr>
          <w:b/>
        </w:rPr>
        <w:t xml:space="preserve">scheduled triggers from data</w:t>
      </w:r>
      <w:r>
        <w:t xml:space="preserve">. Job D1 reads the BLS, BEA and Fed calendars and creates one-off EventBridge schedules for 08:35 ET on each release day.</w:t>
      </w:r>
    </w:p>
    <w:p>
      <w:pPr>
        <w:pStyle w:val="Heading2"/>
      </w:pPr>
      <w:r>
        <w:t xml:space="preserve">Data model</w:t>
      </w:r>
    </w:p>
    <w:p>
      <w:pPr/>
      <w:r>
        <w:t xml:space="preserve">Tables are grouped by how often they change, and that sets their file layout: hourly tables split by month, daily by year, slower ones as one file. Every row carries </w:t>
      </w:r>
      <w:r>
        <w:rPr>
          <w:rStyle w:val="CodeChar"/>
        </w:rPr>
        <w:t xml:space="preserve">source_id</w:t>
      </w:r>
      <w:r>
        <w:t xml:space="preserve"> (DS-xx), </w:t>
      </w:r>
      <w:r>
        <w:rPr>
          <w:rStyle w:val="CodeChar"/>
        </w:rPr>
        <w:t xml:space="preserve">fetched_at</w:t>
      </w:r>
      <w:r>
        <w:t xml:space="preserve"> and </w:t>
      </w:r>
      <w:r>
        <w:rPr>
          <w:rStyle w:val="CodeChar"/>
        </w:rPr>
        <w:t xml:space="preserve">run_id</w:t>
      </w:r>
      <w:r>
        <w:t xml:space="preserve">, so any number on the dashboard traces back to its source call.</w:t>
      </w:r>
    </w:p>
    <w:p>
      <w:pPr/>
      <w:r>
        <w:rPr>
          <w:b/>
        </w:rPr>
        <w:t xml:space="preserve">Raw layer</w:t>
      </w:r>
      <w:r>
        <w:t xml:space="preserve"> — </w:t>
      </w:r>
      <w:r>
        <w:rPr>
          <w:rStyle w:val="CodeChar"/>
        </w:rPr>
        <w:t xml:space="preserve">s3://…/raw/source=DS-02/date=2026-10-03/run=…json.gz</w:t>
      </w:r>
      <w:r>
        <w:t xml:space="preserve">. Payloads exactly as fetched, kept 1 year, then moved to Glacier.</w:t>
      </w:r>
    </w:p>
    <w:p>
      <w:pPr/>
      <w:r>
        <w:rPr>
          <w:b/>
        </w:rPr>
        <w:t xml:space="preserve">Curated layer</w:t>
      </w:r>
      <w:r>
        <w:t xml:space="preserve"> — Parquet, written by the job that fetched it: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Table</w:t>
            </w:r>
          </w:p>
        </w:tc>
        <w:tc>
          <w:tcPr>
            <w:tcW w:w="1560" w:type="dxa"/>
            <w:shd w:val="clear" w:color="auto" w:fill="F2F2F2"/>
          </w:tcPr>
          <w:p>
            <w:pPr/>
            <w:r>
              <w:t xml:space="preserve">Tier</w:t>
            </w:r>
          </w:p>
        </w:tc>
        <w:tc>
          <w:tcPr>
            <w:tcW w:w="1560" w:type="dxa"/>
            <w:shd w:val="clear" w:color="auto" w:fill="F2F2F2"/>
          </w:tcPr>
          <w:p>
            <w:pPr/>
            <w:r>
              <w:t xml:space="preserve">Key</w:t>
            </w:r>
          </w:p>
        </w:tc>
        <w:tc>
          <w:tcPr>
            <w:tcW w:w="1560" w:type="dxa"/>
            <w:shd w:val="clear" w:color="auto" w:fill="F2F2F2"/>
          </w:tcPr>
          <w:p>
            <w:pPr/>
            <w:r>
              <w:t xml:space="preserve">Main columns</w:t>
            </w:r>
          </w:p>
        </w:tc>
        <w:tc>
          <w:tcPr>
            <w:tcW w:w="1560" w:type="dxa"/>
            <w:shd w:val="clear" w:color="auto" w:fill="F2F2F2"/>
          </w:tcPr>
          <w:p>
            <w:pPr/>
            <w:r>
              <w:t xml:space="preserve">Partition</w:t>
            </w:r>
          </w:p>
        </w:tc>
        <w:tc>
          <w:tcPr>
            <w:tcW w:w="1560" w:type="dxa"/>
            <w:shd w:val="clear" w:color="auto" w:fill="F2F2F2"/>
          </w:tcPr>
          <w:p>
            <w:pPr/>
            <w:r>
              <w:t xml:space="preserve">Filled by</w:t>
            </w:r>
          </w:p>
        </w:tc>
      </w:tr>
      <w:tr>
        <w:tc>
          <w:tcPr>
            <w:tcW w:w="1560" w:type="dxa"/>
          </w:tcPr>
          <w:p>
            <w:pPr/>
            <w:r>
              <w:rPr>
                <w:rStyle w:val="CodeChar"/>
              </w:rPr>
              <w:t xml:space="preserve">prices_hourly</w:t>
            </w:r>
          </w:p>
        </w:tc>
        <w:tc>
          <w:tcPr>
            <w:tcW w:w="1560" w:type="dxa"/>
          </w:tcPr>
          <w:p>
            <w:pPr/>
            <w:r>
              <w:t xml:space="preserve">Hourly</w:t>
            </w:r>
          </w:p>
        </w:tc>
        <w:tc>
          <w:tcPr>
            <w:tcW w:w="1560" w:type="dxa"/>
          </w:tcPr>
          <w:p>
            <w:pPr/>
            <w:r>
              <w:t xml:space="preserve">ticker, bar_ts</w:t>
            </w:r>
          </w:p>
        </w:tc>
        <w:tc>
          <w:tcPr>
            <w:tcW w:w="1560" w:type="dxa"/>
          </w:tcPr>
          <w:p>
            <w:pPr/>
            <w:r>
              <w:t xml:space="preserve">open, high, low, close, volume, feed; covers the user-ticker union and index ETFs SPY, DIA, QQQ, IWM, XLY, ITA, SMH</w:t>
            </w:r>
          </w:p>
        </w:tc>
        <w:tc>
          <w:tcPr>
            <w:tcW w:w="1560" w:type="dxa"/>
          </w:tcPr>
          <w:p>
            <w:pPr/>
            <w:r>
              <w:t xml:space="preserve">year/month</w:t>
            </w:r>
          </w:p>
        </w:tc>
        <w:tc>
          <w:tcPr>
            <w:tcW w:w="1560" w:type="dxa"/>
          </w:tcPr>
          <w:p>
            <w:pPr/>
            <w:r>
              <w:t xml:space="preserve">H1, F1</w:t>
            </w:r>
          </w:p>
        </w:tc>
      </w:tr>
      <w:tr>
        <w:tc>
          <w:tcPr>
            <w:tcW w:w="1560" w:type="dxa"/>
          </w:tcPr>
          <w:p>
            <w:pPr/>
            <w:r>
              <w:rPr>
                <w:rStyle w:val="CodeChar"/>
              </w:rPr>
              <w:t xml:space="preserve">prices_daily</w:t>
            </w:r>
          </w:p>
        </w:tc>
        <w:tc>
          <w:tcPr>
            <w:tcW w:w="1560" w:type="dxa"/>
          </w:tcPr>
          <w:p>
            <w:pPr/>
            <w:r>
              <w:t xml:space="preserve">Daily</w:t>
            </w:r>
          </w:p>
        </w:tc>
        <w:tc>
          <w:tcPr>
            <w:tcW w:w="1560" w:type="dxa"/>
          </w:tcPr>
          <w:p>
            <w:pPr/>
            <w:r>
              <w:t xml:space="preserve">ticker, date</w:t>
            </w:r>
          </w:p>
        </w:tc>
        <w:tc>
          <w:tcPr>
            <w:tcW w:w="1560" w:type="dxa"/>
          </w:tcPr>
          <w:p>
            <w:pPr/>
            <w:r>
              <w:t xml:space="preserve">close, adj_close, volume, source_id</w:t>
            </w:r>
          </w:p>
        </w:tc>
        <w:tc>
          <w:tcPr>
            <w:tcW w:w="1560" w:type="dxa"/>
          </w:tcPr>
          <w:p>
            <w:pPr/>
            <w:r>
              <w:t xml:space="preserve">ticker</w:t>
            </w:r>
          </w:p>
        </w:tc>
        <w:tc>
          <w:tcPr>
            <w:tcW w:w="1560" w:type="dxa"/>
          </w:tcPr>
          <w:p>
            <w:pPr/>
            <w:r>
              <w:t xml:space="preserve">D4 close check, backfill (DS-05)</w:t>
            </w:r>
          </w:p>
        </w:tc>
      </w:tr>
      <w:tr>
        <w:tc>
          <w:tcPr>
            <w:tcW w:w="1560" w:type="dxa"/>
          </w:tcPr>
          <w:p>
            <w:pPr/>
            <w:r>
              <w:rPr>
                <w:rStyle w:val="CodeChar"/>
              </w:rPr>
              <w:t xml:space="preserve">news_articles</w:t>
            </w:r>
          </w:p>
        </w:tc>
        <w:tc>
          <w:tcPr>
            <w:tcW w:w="1560" w:type="dxa"/>
          </w:tcPr>
          <w:p>
            <w:pPr/>
            <w:r>
              <w:t xml:space="preserve">Hourly</w:t>
            </w:r>
          </w:p>
        </w:tc>
        <w:tc>
          <w:tcPr>
            <w:tcW w:w="1560" w:type="dxa"/>
          </w:tcPr>
          <w:p>
            <w:pPr/>
            <w:r>
              <w:t xml:space="preserve">url_hash</w:t>
            </w:r>
          </w:p>
        </w:tc>
        <w:tc>
          <w:tcPr>
            <w:tcW w:w="1560" w:type="dxa"/>
          </w:tcPr>
          <w:p>
            <w:pPr/>
            <w:r>
              <w:t xml:space="preserve">published_at, tickers[], title, source, sentiment, topics[]</w:t>
            </w:r>
          </w:p>
        </w:tc>
        <w:tc>
          <w:tcPr>
            <w:tcW w:w="1560" w:type="dxa"/>
          </w:tcPr>
          <w:p>
            <w:pPr/>
            <w:r>
              <w:t xml:space="preserve">year/month</w:t>
            </w:r>
          </w:p>
        </w:tc>
        <w:tc>
          <w:tcPr>
            <w:tcW w:w="1560" w:type="dxa"/>
          </w:tcPr>
          <w:p>
            <w:pPr/>
            <w:r>
              <w:t xml:space="preserve">H2</w:t>
            </w:r>
          </w:p>
        </w:tc>
      </w:tr>
      <w:tr>
        <w:tc>
          <w:tcPr>
            <w:tcW w:w="1560" w:type="dxa"/>
          </w:tcPr>
          <w:p>
            <w:pPr/>
            <w:r>
              <w:rPr>
                <w:rStyle w:val="CodeChar"/>
              </w:rPr>
              <w:t xml:space="preserve">events</w:t>
            </w:r>
          </w:p>
        </w:tc>
        <w:tc>
          <w:tcPr>
            <w:tcW w:w="1560" w:type="dxa"/>
          </w:tcPr>
          <w:p>
            <w:pPr/>
            <w:r>
              <w:t xml:space="preserve">Hourly / daily</w:t>
            </w:r>
          </w:p>
        </w:tc>
        <w:tc>
          <w:tcPr>
            <w:tcW w:w="1560" w:type="dxa"/>
          </w:tcPr>
          <w:p>
            <w:pPr/>
            <w:r>
              <w:t xml:space="preserve">event_id</w:t>
            </w:r>
          </w:p>
        </w:tc>
        <w:tc>
          <w:tcPr>
            <w:tcW w:w="1560" w:type="dxa"/>
          </w:tcPr>
          <w:p>
            <w:pPr/>
            <w:r>
              <w:t xml:space="preserve">event_ts, category, subcategory, title, url, entities[], severity</w:t>
            </w:r>
          </w:p>
        </w:tc>
        <w:tc>
          <w:tcPr>
            <w:tcW w:w="1560" w:type="dxa"/>
          </w:tcPr>
          <w:p>
            <w:pPr/>
            <w:r>
              <w:t xml:space="preserve">year/month</w:t>
            </w:r>
          </w:p>
        </w:tc>
        <w:tc>
          <w:tcPr>
            <w:tcW w:w="1560" w:type="dxa"/>
          </w:tcPr>
          <w:p>
            <w:pPr/>
            <w:r>
              <w:t xml:space="preserve">H3, D2, W1</w:t>
            </w:r>
          </w:p>
        </w:tc>
      </w:tr>
      <w:tr>
        <w:tc>
          <w:tcPr>
            <w:tcW w:w="1560" w:type="dxa"/>
          </w:tcPr>
          <w:p>
            <w:pPr/>
            <w:r>
              <w:rPr>
                <w:rStyle w:val="CodeChar"/>
              </w:rPr>
              <w:t xml:space="preserve">filings</w:t>
            </w:r>
          </w:p>
        </w:tc>
        <w:tc>
          <w:tcPr>
            <w:tcW w:w="1560" w:type="dxa"/>
          </w:tcPr>
          <w:p>
            <w:pPr/>
            <w:r>
              <w:t xml:space="preserve">Hourly</w:t>
            </w:r>
          </w:p>
        </w:tc>
        <w:tc>
          <w:tcPr>
            <w:tcW w:w="1560" w:type="dxa"/>
          </w:tcPr>
          <w:p>
            <w:pPr/>
            <w:r>
              <w:t xml:space="preserve">accession_no</w:t>
            </w:r>
          </w:p>
        </w:tc>
        <w:tc>
          <w:tcPr>
            <w:tcW w:w="1560" w:type="dxa"/>
          </w:tcPr>
          <w:p>
            <w:pPr/>
            <w:r>
              <w:t xml:space="preserve">cik, form, filed_at, url</w:t>
            </w:r>
          </w:p>
        </w:tc>
        <w:tc>
          <w:tcPr>
            <w:tcW w:w="1560" w:type="dxa"/>
          </w:tcPr>
          <w:p>
            <w:pPr/>
            <w:r>
              <w:t xml:space="preserve">year</w:t>
            </w:r>
          </w:p>
        </w:tc>
        <w:tc>
          <w:tcPr>
            <w:tcW w:w="1560" w:type="dxa"/>
          </w:tcPr>
          <w:p>
            <w:pPr/>
            <w:r>
              <w:t xml:space="preserve">H3</w:t>
            </w:r>
          </w:p>
        </w:tc>
      </w:tr>
      <w:tr>
        <w:tc>
          <w:tcPr>
            <w:tcW w:w="1560" w:type="dxa"/>
          </w:tcPr>
          <w:p>
            <w:pPr/>
            <w:r>
              <w:rPr>
                <w:rStyle w:val="CodeChar"/>
              </w:rPr>
              <w:t xml:space="preserve">macro_daily</w:t>
            </w:r>
          </w:p>
        </w:tc>
        <w:tc>
          <w:tcPr>
            <w:tcW w:w="1560" w:type="dxa"/>
          </w:tcPr>
          <w:p>
            <w:pPr/>
            <w:r>
              <w:t xml:space="preserve">Daily</w:t>
            </w:r>
          </w:p>
        </w:tc>
        <w:tc>
          <w:tcPr>
            <w:tcW w:w="1560" w:type="dxa"/>
          </w:tcPr>
          <w:p>
            <w:pPr/>
            <w:r>
              <w:t xml:space="preserve">series_id, obs_date</w:t>
            </w:r>
          </w:p>
        </w:tc>
        <w:tc>
          <w:tcPr>
            <w:tcW w:w="1560" w:type="dxa"/>
          </w:tcPr>
          <w:p>
            <w:pPr/>
            <w:r>
              <w:t xml:space="preserve">value, unit, vintage_date</w:t>
            </w:r>
          </w:p>
        </w:tc>
        <w:tc>
          <w:tcPr>
            <w:tcW w:w="1560" w:type="dxa"/>
          </w:tcPr>
          <w:p>
            <w:pPr/>
            <w:r>
              <w:t xml:space="preserve">year</w:t>
            </w:r>
          </w:p>
        </w:tc>
        <w:tc>
          <w:tcPr>
            <w:tcW w:w="1560" w:type="dxa"/>
          </w:tcPr>
          <w:p>
            <w:pPr/>
            <w:r>
              <w:t xml:space="preserve">D1, D3, D4</w:t>
            </w:r>
          </w:p>
        </w:tc>
      </w:tr>
      <w:tr>
        <w:tc>
          <w:tcPr>
            <w:tcW w:w="1560" w:type="dxa"/>
          </w:tcPr>
          <w:p>
            <w:pPr/>
            <w:r>
              <w:rPr>
                <w:rStyle w:val="CodeChar"/>
              </w:rPr>
              <w:t xml:space="preserve">rate_odds</w:t>
            </w:r>
          </w:p>
        </w:tc>
        <w:tc>
          <w:tcPr>
            <w:tcW w:w="1560" w:type="dxa"/>
          </w:tcPr>
          <w:p>
            <w:pPr/>
            <w:r>
              <w:t xml:space="preserve">Daily</w:t>
            </w:r>
          </w:p>
        </w:tc>
        <w:tc>
          <w:tcPr>
            <w:tcW w:w="1560" w:type="dxa"/>
          </w:tcPr>
          <w:p>
            <w:pPr/>
            <w:r>
              <w:t xml:space="preserve">source, meeting_or_horizon, as_of, outcome</w:t>
            </w:r>
          </w:p>
        </w:tc>
        <w:tc>
          <w:tcPr>
            <w:tcW w:w="1560" w:type="dxa"/>
          </w:tcPr>
          <w:p>
            <w:pPr/>
            <w:r>
              <w:t xml:space="preserve">probability, yes_bid, yes_ask, volume (Kalshi); Atlanta Fed and Cleveland Fed rows by column/measure</w:t>
            </w:r>
          </w:p>
        </w:tc>
        <w:tc>
          <w:tcPr>
            <w:tcW w:w="1560" w:type="dxa"/>
          </w:tcPr>
          <w:p>
            <w:pPr/>
            <w:r>
              <w:t xml:space="preserve">year</w:t>
            </w:r>
          </w:p>
        </w:tc>
        <w:tc>
          <w:tcPr>
            <w:tcW w:w="1560" w:type="dxa"/>
          </w:tcPr>
          <w:p>
            <w:pPr/>
            <w:r>
              <w:t xml:space="preserve">D1 (DS-88), D4 (DS-89, DS-90)</w:t>
            </w:r>
          </w:p>
        </w:tc>
      </w:tr>
      <w:tr>
        <w:tc>
          <w:tcPr>
            <w:tcW w:w="1560" w:type="dxa"/>
          </w:tcPr>
          <w:p>
            <w:pPr/>
            <w:r>
              <w:rPr>
                <w:rStyle w:val="CodeChar"/>
              </w:rPr>
              <w:t xml:space="preserve">short_interest</w:t>
            </w:r>
          </w:p>
        </w:tc>
        <w:tc>
          <w:tcPr>
            <w:tcW w:w="1560" w:type="dxa"/>
          </w:tcPr>
          <w:p>
            <w:pPr/>
            <w:r>
              <w:t xml:space="preserve">Twice monthly</w:t>
            </w:r>
          </w:p>
        </w:tc>
        <w:tc>
          <w:tcPr>
            <w:tcW w:w="1560" w:type="dxa"/>
          </w:tcPr>
          <w:p>
            <w:pPr/>
            <w:r>
              <w:t xml:space="preserve">ticker, settlement_date</w:t>
            </w:r>
          </w:p>
        </w:tc>
        <w:tc>
          <w:tcPr>
            <w:tcW w:w="1560" w:type="dxa"/>
          </w:tcPr>
          <w:p>
            <w:pPr/>
            <w:r>
              <w:t xml:space="preserve">short_interest, previous_short_interest, avg_daily_volume, days_to_cover</w:t>
            </w:r>
          </w:p>
        </w:tc>
        <w:tc>
          <w:tcPr>
            <w:tcW w:w="1560" w:type="dxa"/>
          </w:tcPr>
          <w:p>
            <w:pPr/>
            <w:r>
              <w:t xml:space="preserve">settlement_date</w:t>
            </w:r>
          </w:p>
        </w:tc>
        <w:tc>
          <w:tcPr>
            <w:tcW w:w="1560" w:type="dxa"/>
          </w:tcPr>
          <w:p>
            <w:pPr/>
            <w:r>
              <w:t xml:space="preserve">short_interest (DS-91)</w:t>
            </w:r>
          </w:p>
        </w:tc>
      </w:tr>
      <w:tr>
        <w:tc>
          <w:tcPr>
            <w:tcW w:w="1560" w:type="dxa"/>
          </w:tcPr>
          <w:p>
            <w:pPr/>
            <w:r>
              <w:rPr>
                <w:rStyle w:val="CodeChar"/>
              </w:rPr>
              <w:t xml:space="preserve">options_daily</w:t>
            </w:r>
          </w:p>
        </w:tc>
        <w:tc>
          <w:tcPr>
            <w:tcW w:w="1560" w:type="dxa"/>
          </w:tcPr>
          <w:p>
            <w:pPr/>
            <w:r>
              <w:t xml:space="preserve">Daily</w:t>
            </w:r>
          </w:p>
        </w:tc>
        <w:tc>
          <w:tcPr>
            <w:tcW w:w="1560" w:type="dxa"/>
          </w:tcPr>
          <w:p>
            <w:pPr/>
            <w:r>
              <w:t xml:space="preserve">ticker, date</w:t>
            </w:r>
          </w:p>
        </w:tc>
        <w:tc>
          <w:tcPr>
            <w:tcW w:w="1560" w:type="dxa"/>
          </w:tcPr>
          <w:p>
            <w:pPr/>
            <w:r>
              <w:t xml:space="preserve">put_call_volume_ratio, call_volume, put_volume, iv30, iv30_expiration, iv_available</w:t>
            </w:r>
          </w:p>
        </w:tc>
        <w:tc>
          <w:tcPr>
            <w:tcW w:w="1560" w:type="dxa"/>
          </w:tcPr>
          <w:p>
            <w:pPr/>
            <w:r>
              <w:t xml:space="preserve">date</w:t>
            </w:r>
          </w:p>
        </w:tc>
        <w:tc>
          <w:tcPr>
            <w:tcW w:w="1560" w:type="dxa"/>
          </w:tcPr>
          <w:p>
            <w:pPr/>
            <w:r>
              <w:t xml:space="preserve">options_daily (DS-92, off until confirmed)</w:t>
            </w:r>
          </w:p>
        </w:tc>
      </w:tr>
      <w:tr>
        <w:tc>
          <w:tcPr>
            <w:tcW w:w="1560" w:type="dxa"/>
          </w:tcPr>
          <w:p>
            <w:pPr/>
            <w:r>
              <w:rPr>
                <w:rStyle w:val="CodeChar"/>
              </w:rPr>
              <w:t xml:space="preserve">contracts</w:t>
            </w:r>
          </w:p>
        </w:tc>
        <w:tc>
          <w:tcPr>
            <w:tcW w:w="1560" w:type="dxa"/>
          </w:tcPr>
          <w:p>
            <w:pPr/>
            <w:r>
              <w:t xml:space="preserve">Daily</w:t>
            </w:r>
          </w:p>
        </w:tc>
        <w:tc>
          <w:tcPr>
            <w:tcW w:w="1560" w:type="dxa"/>
          </w:tcPr>
          <w:p>
            <w:pPr/>
            <w:r>
              <w:t xml:space="preserve">award_id, mod_no</w:t>
            </w:r>
          </w:p>
        </w:tc>
        <w:tc>
          <w:tcPr>
            <w:tcW w:w="1560" w:type="dxa"/>
          </w:tcPr>
          <w:p>
            <w:pPr/>
            <w:r>
              <w:t xml:space="preserve">agency, obligated_usd, action_date, description</w:t>
            </w:r>
          </w:p>
        </w:tc>
        <w:tc>
          <w:tcPr>
            <w:tcW w:w="1560" w:type="dxa"/>
          </w:tcPr>
          <w:p>
            <w:pPr/>
            <w:r>
              <w:t xml:space="preserve">year</w:t>
            </w:r>
          </w:p>
        </w:tc>
        <w:tc>
          <w:tcPr>
            <w:tcW w:w="1560" w:type="dxa"/>
          </w:tcPr>
          <w:p>
            <w:pPr/>
            <w:r>
              <w:t xml:space="preserve">D5</w:t>
            </w:r>
          </w:p>
        </w:tc>
      </w:tr>
      <w:tr>
        <w:tc>
          <w:tcPr>
            <w:tcW w:w="1560" w:type="dxa"/>
          </w:tcPr>
          <w:p>
            <w:pPr/>
            <w:r>
              <w:rPr>
                <w:rStyle w:val="CodeChar"/>
              </w:rPr>
              <w:t xml:space="preserve">launches</w:t>
            </w:r>
          </w:p>
        </w:tc>
        <w:tc>
          <w:tcPr>
            <w:tcW w:w="1560" w:type="dxa"/>
          </w:tcPr>
          <w:p>
            <w:pPr/>
            <w:r>
              <w:t xml:space="preserve">Daily</w:t>
            </w:r>
          </w:p>
        </w:tc>
        <w:tc>
          <w:tcPr>
            <w:tcW w:w="1560" w:type="dxa"/>
          </w:tcPr>
          <w:p>
            <w:pPr/>
            <w:r>
              <w:t xml:space="preserve">ll2_id</w:t>
            </w:r>
          </w:p>
        </w:tc>
        <w:tc>
          <w:tcPr>
            <w:tcW w:w="1560" w:type="dxa"/>
          </w:tcPr>
          <w:p>
            <w:pPr/>
            <w:r>
              <w:t xml:space="preserve">net_ts, vehicle, mission, status, outcome</w:t>
            </w:r>
          </w:p>
        </w:tc>
        <w:tc>
          <w:tcPr>
            <w:tcW w:w="1560" w:type="dxa"/>
          </w:tcPr>
          <w:p>
            <w:pPr/>
            <w:r>
              <w:t xml:space="preserve">year</w:t>
            </w:r>
          </w:p>
        </w:tc>
        <w:tc>
          <w:tcPr>
            <w:tcW w:w="1560" w:type="dxa"/>
          </w:tcPr>
          <w:p>
            <w:pPr/>
            <w:r>
              <w:t xml:space="preserve">H3, D2</w:t>
            </w:r>
          </w:p>
        </w:tc>
      </w:tr>
      <w:tr>
        <w:tc>
          <w:tcPr>
            <w:tcW w:w="1560" w:type="dxa"/>
          </w:tcPr>
          <w:p>
            <w:pPr/>
            <w:r>
              <w:rPr>
                <w:rStyle w:val="CodeChar"/>
              </w:rPr>
              <w:t xml:space="preserve">robotaxi_fleet</w:t>
            </w:r>
          </w:p>
        </w:tc>
        <w:tc>
          <w:tcPr>
            <w:tcW w:w="1560" w:type="dxa"/>
          </w:tcPr>
          <w:p>
            <w:pPr/>
            <w:r>
              <w:t xml:space="preserve">Weekly</w:t>
            </w:r>
          </w:p>
        </w:tc>
        <w:tc>
          <w:tcPr>
            <w:tcW w:w="1560" w:type="dxa"/>
          </w:tcPr>
          <w:p>
            <w:pPr/>
            <w:r>
              <w:t xml:space="preserve">jurisdiction, as_of</w:t>
            </w:r>
          </w:p>
        </w:tc>
        <w:tc>
          <w:tcPr>
            <w:tcW w:w="1560" w:type="dxa"/>
          </w:tcPr>
          <w:p>
            <w:pPr/>
            <w:r>
              <w:t xml:space="preserve">permit_type, vehicles, cities[]</w:t>
            </w:r>
          </w:p>
        </w:tc>
        <w:tc>
          <w:tcPr>
            <w:tcW w:w="1560" w:type="dxa"/>
          </w:tcPr>
          <w:p>
            <w:pPr/>
            <w:r>
              <w:t xml:space="preserve">none</w:t>
            </w:r>
          </w:p>
        </w:tc>
        <w:tc>
          <w:tcPr>
            <w:tcW w:w="1560" w:type="dxa"/>
          </w:tcPr>
          <w:p>
            <w:pPr/>
            <w:r>
              <w:t xml:space="preserve">D2, W1, A1</w:t>
            </w:r>
          </w:p>
        </w:tc>
      </w:tr>
      <w:tr>
        <w:tc>
          <w:tcPr>
            <w:tcW w:w="1560" w:type="dxa"/>
          </w:tcPr>
          <w:p>
            <w:pPr/>
            <w:r>
              <w:rPr>
                <w:rStyle w:val="CodeChar"/>
              </w:rPr>
              <w:t xml:space="preserve">risk_indices</w:t>
            </w:r>
          </w:p>
        </w:tc>
        <w:tc>
          <w:tcPr>
            <w:tcW w:w="1560" w:type="dxa"/>
          </w:tcPr>
          <w:p>
            <w:pPr/>
            <w:r>
              <w:t xml:space="preserve">Weekly</w:t>
            </w:r>
          </w:p>
        </w:tc>
        <w:tc>
          <w:tcPr>
            <w:tcW w:w="1560" w:type="dxa"/>
          </w:tcPr>
          <w:p>
            <w:pPr/>
            <w:r>
              <w:t xml:space="preserve">index, obs_date</w:t>
            </w:r>
          </w:p>
        </w:tc>
        <w:tc>
          <w:tcPr>
            <w:tcW w:w="1560" w:type="dxa"/>
          </w:tcPr>
          <w:p>
            <w:pPr/>
            <w:r>
              <w:t xml:space="preserve">value</w:t>
            </w:r>
          </w:p>
        </w:tc>
        <w:tc>
          <w:tcPr>
            <w:tcW w:w="1560" w:type="dxa"/>
          </w:tcPr>
          <w:p>
            <w:pPr/>
            <w:r>
              <w:t xml:space="preserve">none</w:t>
            </w:r>
          </w:p>
        </w:tc>
        <w:tc>
          <w:tcPr>
            <w:tcW w:w="1560" w:type="dxa"/>
          </w:tcPr>
          <w:p>
            <w:pPr/>
            <w:r>
              <w:t xml:space="preserve">W1, D1</w:t>
            </w:r>
          </w:p>
        </w:tc>
      </w:tr>
      <w:tr>
        <w:tc>
          <w:tcPr>
            <w:tcW w:w="1560" w:type="dxa"/>
          </w:tcPr>
          <w:p>
            <w:pPr/>
            <w:r>
              <w:rPr>
                <w:rStyle w:val="CodeChar"/>
              </w:rPr>
              <w:t xml:space="preserve">releases</w:t>
            </w:r>
          </w:p>
        </w:tc>
        <w:tc>
          <w:tcPr>
            <w:tcW w:w="1560" w:type="dxa"/>
          </w:tcPr>
          <w:p>
            <w:pPr/>
            <w:r>
              <w:t xml:space="preserve">On release</w:t>
            </w:r>
          </w:p>
        </w:tc>
        <w:tc>
          <w:tcPr>
            <w:tcW w:w="1560" w:type="dxa"/>
          </w:tcPr>
          <w:p>
            <w:pPr/>
            <w:r>
              <w:t xml:space="preserve">series_id, ref_period</w:t>
            </w:r>
          </w:p>
        </w:tc>
        <w:tc>
          <w:tcPr>
            <w:tcW w:w="1560" w:type="dxa"/>
          </w:tcPr>
          <w:p>
            <w:pPr/>
            <w:r>
              <w:t xml:space="preserve">actual, nowcast, surprise, release_ts</w:t>
            </w:r>
          </w:p>
        </w:tc>
        <w:tc>
          <w:tcPr>
            <w:tcW w:w="1560" w:type="dxa"/>
          </w:tcPr>
          <w:p>
            <w:pPr/>
            <w:r>
              <w:t xml:space="preserve">none</w:t>
            </w:r>
          </w:p>
        </w:tc>
        <w:tc>
          <w:tcPr>
            <w:tcW w:w="1560" w:type="dxa"/>
          </w:tcPr>
          <w:p>
            <w:pPr/>
            <w:r>
              <w:t xml:space="preserve">M1</w:t>
            </w:r>
          </w:p>
        </w:tc>
      </w:tr>
      <w:tr>
        <w:tc>
          <w:tcPr>
            <w:tcW w:w="1560" w:type="dxa"/>
          </w:tcPr>
          <w:p>
            <w:pPr/>
            <w:r>
              <w:rPr>
                <w:rStyle w:val="CodeChar"/>
              </w:rPr>
              <w:t xml:space="preserve">fundamentals_quarterly</w:t>
            </w:r>
          </w:p>
        </w:tc>
        <w:tc>
          <w:tcPr>
            <w:tcW w:w="1560" w:type="dxa"/>
          </w:tcPr>
          <w:p>
            <w:pPr/>
            <w:r>
              <w:t xml:space="preserve">Quarterly</w:t>
            </w:r>
          </w:p>
        </w:tc>
        <w:tc>
          <w:tcPr>
            <w:tcW w:w="1560" w:type="dxa"/>
          </w:tcPr>
          <w:p>
            <w:pPr/>
            <w:r>
              <w:t xml:space="preserve">ticker, metric, fiscal_quarter</w:t>
            </w:r>
          </w:p>
        </w:tc>
        <w:tc>
          <w:tcPr>
            <w:tcW w:w="1560" w:type="dxa"/>
          </w:tcPr>
          <w:p>
            <w:pPr/>
            <w:r>
              <w:t xml:space="preserve">release_date, value, unit, source_id; metrics gross_margin_gaap, revenue_gaap, gross_profit_gaap, deliveries, fsd_subscribers</w:t>
            </w:r>
          </w:p>
        </w:tc>
        <w:tc>
          <w:tcPr>
            <w:tcW w:w="1560" w:type="dxa"/>
          </w:tcPr>
          <w:p>
            <w:pPr/>
            <w:r>
              <w:t xml:space="preserve">none</w:t>
            </w:r>
          </w:p>
        </w:tc>
        <w:tc>
          <w:tcPr>
            <w:tcW w:w="1560" w:type="dxa"/>
          </w:tcPr>
          <w:p>
            <w:pPr/>
            <w:r>
              <w:t xml:space="preserve">q1_fundamentals (DS-11 XBRL, DS-12 manual)</w:t>
            </w:r>
          </w:p>
        </w:tc>
      </w:tr>
      <w:tr>
        <w:tc>
          <w:tcPr>
            <w:tcW w:w="1560" w:type="dxa"/>
          </w:tcPr>
          <w:p>
            <w:pPr/>
            <w:r>
              <w:rPr>
                <w:rStyle w:val="CodeChar"/>
              </w:rPr>
              <w:t xml:space="preserve">calendar_days</w:t>
            </w:r>
          </w:p>
        </w:tc>
        <w:tc>
          <w:tcPr>
            <w:tcW w:w="1560" w:type="dxa"/>
          </w:tcPr>
          <w:p>
            <w:pPr/>
            <w:r>
              <w:t xml:space="preserve">Monthly</w:t>
            </w:r>
          </w:p>
        </w:tc>
        <w:tc>
          <w:tcPr>
            <w:tcW w:w="1560" w:type="dxa"/>
          </w:tcPr>
          <w:p>
            <w:pPr/>
            <w:r>
              <w:t xml:space="preserve">calendar, date</w:t>
            </w:r>
          </w:p>
        </w:tc>
        <w:tc>
          <w:tcPr>
            <w:tcW w:w="1560" w:type="dxa"/>
          </w:tcPr>
          <w:p>
            <w:pPr/>
            <w:r>
              <w:t xml:space="preserve">is_open, close_time</w:t>
            </w:r>
          </w:p>
        </w:tc>
        <w:tc>
          <w:tcPr>
            <w:tcW w:w="1560" w:type="dxa"/>
          </w:tcPr>
          <w:p>
            <w:pPr/>
            <w:r>
              <w:t xml:space="preserve">none</w:t>
            </w:r>
          </w:p>
        </w:tc>
        <w:tc>
          <w:tcPr>
            <w:tcW w:w="1560" w:type="dxa"/>
          </w:tcPr>
          <w:p>
            <w:pPr/>
            <w:r>
              <w:t xml:space="preserve">C1, A1</w:t>
            </w:r>
          </w:p>
        </w:tc>
      </w:tr>
      <w:tr>
        <w:tc>
          <w:tcPr>
            <w:tcW w:w="1560" w:type="dxa"/>
          </w:tcPr>
          <w:p>
            <w:pPr/>
            <w:r>
              <w:rPr>
                <w:rStyle w:val="CodeChar"/>
              </w:rPr>
              <w:t xml:space="preserve">ingestion_runs</w:t>
            </w:r>
          </w:p>
        </w:tc>
        <w:tc>
          <w:tcPr>
            <w:tcW w:w="1560" w:type="dxa"/>
          </w:tcPr>
          <w:p>
            <w:pPr/>
            <w:r>
              <w:t xml:space="preserve">Every run</w:t>
            </w:r>
          </w:p>
        </w:tc>
        <w:tc>
          <w:tcPr>
            <w:tcW w:w="1560" w:type="dxa"/>
          </w:tcPr>
          <w:p>
            <w:pPr/>
            <w:r>
              <w:t xml:space="preserve">run_id</w:t>
            </w:r>
          </w:p>
        </w:tc>
        <w:tc>
          <w:tcPr>
            <w:tcW w:w="1560" w:type="dxa"/>
          </w:tcPr>
          <w:p>
            <w:pPr/>
            <w:r>
              <w:t xml:space="preserve">job, source_id, status, rows, error, duration_ms</w:t>
            </w:r>
          </w:p>
        </w:tc>
        <w:tc>
          <w:tcPr>
            <w:tcW w:w="1560" w:type="dxa"/>
          </w:tcPr>
          <w:p>
            <w:pPr/>
            <w:r>
              <w:t xml:space="preserve">year/month</w:t>
            </w:r>
          </w:p>
        </w:tc>
        <w:tc>
          <w:tcPr>
            <w:tcW w:w="1560" w:type="dxa"/>
          </w:tcPr>
          <w:p>
            <w:pPr/>
            <w:r>
              <w:t xml:space="preserve">all jobs</w:t>
            </w:r>
          </w:p>
        </w:tc>
      </w:tr>
      <w:tr>
        <w:tc>
          <w:tcPr>
            <w:tcW w:w="1560" w:type="dxa"/>
          </w:tcPr>
          <w:p>
            <w:pPr/>
            <w:r>
              <w:rPr>
                <w:rStyle w:val="CodeChar"/>
              </w:rPr>
              <w:t xml:space="preserve">user_prefs</w:t>
            </w:r>
            <w:r>
              <w:t xml:space="preserve"> (DynamoDB)</w:t>
            </w:r>
          </w:p>
        </w:tc>
        <w:tc>
          <w:tcPr>
            <w:tcW w:w="1560" w:type="dxa"/>
          </w:tcPr>
          <w:p>
            <w:pPr/>
            <w:r>
              <w:t xml:space="preserve">On change</w:t>
            </w:r>
          </w:p>
        </w:tc>
        <w:tc>
          <w:tcPr>
            <w:tcW w:w="1560" w:type="dxa"/>
          </w:tcPr>
          <w:p>
            <w:pPr/>
            <w:r>
              <w:t xml:space="preserve">user_sub</w:t>
            </w:r>
          </w:p>
        </w:tc>
        <w:tc>
          <w:tcPr>
            <w:tcW w:w="1560" w:type="dxa"/>
          </w:tcPr>
          <w:p>
            <w:pPr/>
            <w:r>
              <w:t xml:space="preserve">tickers[], pinned[] (max 6), display.time_zone, display.updown_palette, version, updated_at</w:t>
            </w:r>
          </w:p>
        </w:tc>
        <w:tc>
          <w:tcPr>
            <w:tcW w:w="1560" w:type="dxa"/>
          </w:tcPr>
          <w:p>
            <w:pPr/>
            <w:r>
              <w:t xml:space="preserve">n/a</w:t>
            </w:r>
          </w:p>
        </w:tc>
        <w:tc>
          <w:tcPr>
            <w:tcW w:w="1560" w:type="dxa"/>
          </w:tcPr>
          <w:p>
            <w:pPr/>
            <w:r>
              <w:t xml:space="preserve">prefs API</w:t>
            </w:r>
          </w:p>
        </w:tc>
      </w:tr>
    </w:tbl>
    <w:p>
      <w:pPr/>
      <w:r>
        <w:rPr>
          <w:b/>
        </w:rPr>
        <w:t xml:space="preserve">Serving layer</w:t>
      </w:r>
      <w:r>
        <w:t xml:space="preserve"> — JSON files built for the screen, one per dashboard panel (e.g. </w:t>
      </w:r>
      <w:r>
        <w:rPr>
          <w:rStyle w:val="CodeChar"/>
        </w:rPr>
        <w:t xml:space="preserve">serving/panel/rates.json</w:t>
      </w:r>
      <w:r>
        <w:t xml:space="preserve">), plus </w:t>
      </w:r>
      <w:r>
        <w:rPr>
          <w:rStyle w:val="CodeChar"/>
        </w:rPr>
        <w:t xml:space="preserve">manifest.json</w:t>
      </w:r>
      <w:r>
        <w:t xml:space="preserve"> listing each panel's version and last update.</w:t>
      </w:r>
    </w:p>
    <w:p>
      <w:pPr>
        <w:pStyle w:val="ListParagraph"/>
        <w:numPr>
          <w:ilvl w:val="0"/>
          <w:numId w:val="3"/>
        </w:numPr>
      </w:pPr>
      <w:r>
        <w:t xml:space="preserve">Macro series use one long table (</w:t>
      </w:r>
      <w:r>
        <w:rPr>
          <w:rStyle w:val="CodeChar"/>
        </w:rPr>
        <w:t xml:space="preserve">series_id</w:t>
      </w:r>
      <w:r>
        <w:t xml:space="preserve">, </w:t>
      </w:r>
      <w:r>
        <w:rPr>
          <w:rStyle w:val="CodeChar"/>
        </w:rPr>
        <w:t xml:space="preserve">obs_date</w:t>
      </w:r>
      <w:r>
        <w:t xml:space="preserve">, </w:t>
      </w:r>
      <w:r>
        <w:rPr>
          <w:rStyle w:val="CodeChar"/>
        </w:rPr>
        <w:t xml:space="preserve">value</w:t>
      </w:r>
      <w:r>
        <w:t xml:space="preserve">) so a new FRED or BLS series needs no schema change.</w:t>
      </w:r>
    </w:p>
    <w:p>
      <w:pPr>
        <w:pStyle w:val="ListParagraph"/>
        <w:numPr>
          <w:ilvl w:val="0"/>
          <w:numId w:val="3"/>
        </w:numPr>
      </w:pPr>
      <w:r>
        <w:rPr>
          <w:rStyle w:val="CodeChar"/>
        </w:rPr>
        <w:t xml:space="preserve">events</w:t>
      </w:r>
      <w:r>
        <w:t xml:space="preserve"> is the one table every timeline reads; news, filings, tariffs, launches and permits all map into it with a </w:t>
      </w:r>
      <w:r>
        <w:rPr>
          <w:rStyle w:val="CodeChar"/>
        </w:rPr>
        <w:t xml:space="preserve">category</w:t>
      </w:r>
      <w:r>
        <w:t xml:space="preserve">.</w:t>
      </w:r>
    </w:p>
    <w:p>
      <w:pPr>
        <w:pStyle w:val="ListParagraph"/>
        <w:numPr>
          <w:ilvl w:val="0"/>
          <w:numId w:val="3"/>
        </w:numPr>
      </w:pPr>
      <w:r>
        <w:t xml:space="preserve">Each job writes its own small file per run, so jobs never write over each other. A nightly compaction merges a month's small files into one.</w:t>
      </w:r>
    </w:p>
    <w:p>
      <w:pPr>
        <w:pStyle w:val="Heading2"/>
      </w:pPr>
      <w:r>
        <w:t xml:space="preserve">Users, preferences and trend analytics</w:t>
      </w:r>
    </w:p>
    <w:p>
      <w:pPr/>
      <w:r>
        <w:t xml:space="preserve">The dashboard now serves several signed-in users, each with their own ticker list. Collectors cover the union of those lists (capped to stay within free tiers), and three new build outputs feed the UI: trend metrics, quarterly fundamentals and a refresh-status feed. Together these add about </w:t>
      </w:r>
      <w:r>
        <w:rPr>
          <w:b/>
        </w:rPr>
        <w:t xml:space="preserve">$1.20 a month</w:t>
      </w:r>
      <w:r>
        <w:t xml:space="preserve"> (range $0.70–$2.00).</w:t>
      </w:r>
    </w:p>
    <w:p>
      <w:pPr>
        <w:pStyle w:val="Heading3"/>
      </w:pPr>
      <w:r>
        <w:t xml:space="preserve">Sign-in and preferences</w:t>
      </w:r>
    </w:p>
    <w:p>
      <w:pPr>
        <w:pStyle w:val="ListParagraph"/>
        <w:numPr>
          <w:ilvl w:val="0"/>
          <w:numId w:val="4"/>
        </w:numPr>
      </w:pPr>
      <w:r>
        <w:rPr>
          <w:b/>
        </w:rPr>
        <w:t xml:space="preserve">Sign-in:</w:t>
      </w:r>
      <w:r>
        <w:t xml:space="preserve"> invite-only Cognito user pool (Plus tier for threat protection), MFA required, 15-character passwords. The site uses the authorization-code flow with PKCE through Cognito's hosted UI, with no Amplify. Tokens last 1 hour and refresh for up to 12 hours (AC-12).</w:t>
      </w:r>
    </w:p>
    <w:p>
      <w:pPr>
        <w:pStyle w:val="ListParagraph"/>
        <w:numPr>
          <w:ilvl w:val="0"/>
          <w:numId w:val="4"/>
        </w:numPr>
      </w:pPr>
      <w:r>
        <w:rPr>
          <w:b/>
        </w:rPr>
        <w:t xml:space="preserve">Preferences store:</w:t>
      </w:r>
      <w:r>
        <w:t xml:space="preserve"> DynamoDB table </w:t>
      </w:r>
      <w:r>
        <w:rPr>
          <w:rStyle w:val="CodeChar"/>
        </w:rPr>
        <w:t xml:space="preserve">invdash-user-prefs</w:t>
      </w:r>
      <w:r>
        <w:t xml:space="preserve">, one item per user keyed by Cognito </w:t>
      </w:r>
      <w:r>
        <w:rPr>
          <w:rStyle w:val="CodeChar"/>
        </w:rPr>
        <w:t xml:space="preserve">sub</w:t>
      </w:r>
      <w:r>
        <w:t xml:space="preserve"> (</w:t>
      </w:r>
      <w:r>
        <w:rPr>
          <w:rStyle w:val="CodeChar"/>
        </w:rPr>
        <w:t xml:space="preserve">user_sub</w:t>
      </w:r>
      <w:r>
        <w:t xml:space="preserve">). On-demand billing, encrypted with the data key, point-in-time recovery, deletion protection.</w:t>
      </w:r>
    </w:p>
    <w:p>
      <w:pPr>
        <w:pStyle w:val="ListParagraph"/>
        <w:numPr>
          <w:ilvl w:val="0"/>
          <w:numId w:val="4"/>
        </w:numPr>
      </w:pPr>
      <w:r>
        <w:rPr>
          <w:b/>
        </w:rPr>
        <w:t xml:space="preserve">Site API:</w:t>
      </w:r>
      <w:r>
        <w:t xml:space="preserve"> </w:t>
      </w:r>
      <w:r>
        <w:rPr>
          <w:rStyle w:val="CodeChar"/>
        </w:rPr>
        <w:t xml:space="preserve">GET</w:t>
      </w:r>
      <w:r>
        <w:t xml:space="preserve"> and </w:t>
      </w:r>
      <w:r>
        <w:rPr>
          <w:rStyle w:val="CodeChar"/>
        </w:rPr>
        <w:t xml:space="preserve">PUT /prefs</w:t>
      </w:r>
      <w:r>
        <w:t xml:space="preserve"> on an HTTP API with a Cognito JWT authorizer. PUT needs the </w:t>
      </w:r>
      <w:r>
        <w:rPr>
          <w:rStyle w:val="CodeChar"/>
        </w:rPr>
        <w:t xml:space="preserve">version</w:t>
      </w:r>
      <w:r>
        <w:t xml:space="preserve"> it last read (a stale version returns 409). Adding a ticker nobody else follows triggers a 5-year history backfill.</w:t>
      </w:r>
    </w:p>
    <w:p>
      <w:pPr/>
      <w:r>
        <w:t xml:space="preserve">Who can reach the preferences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Principal</w:t>
            </w:r>
          </w:p>
        </w:tc>
        <w:tc>
          <w:tcPr>
            <w:tcW w:w="3120" w:type="dxa"/>
            <w:shd w:val="clear" w:color="auto" w:fill="F2F2F2"/>
          </w:tcPr>
          <w:p>
            <w:pPr/>
            <w:r>
              <w:t xml:space="preserve">Allowed</w:t>
            </w:r>
          </w:p>
        </w:tc>
        <w:tc>
          <w:tcPr>
            <w:tcW w:w="3120" w:type="dxa"/>
            <w:shd w:val="clear" w:color="auto" w:fill="F2F2F2"/>
          </w:tcPr>
          <w:p>
            <w:pPr/>
            <w:r>
              <w:t xml:space="preserve">Enforced by</w:t>
            </w:r>
          </w:p>
        </w:tc>
      </w:tr>
      <w:tr>
        <w:tc>
          <w:tcPr>
            <w:tcW w:w="3120" w:type="dxa"/>
          </w:tcPr>
          <w:p>
            <w:pPr/>
            <w:r>
              <w:t xml:space="preserve">Site API function</w:t>
            </w:r>
          </w:p>
        </w:tc>
        <w:tc>
          <w:tcPr>
            <w:tcW w:w="3120" w:type="dxa"/>
          </w:tcPr>
          <w:p>
            <w:pPr/>
            <w:r>
              <w:t xml:space="preserve">Nothing on the table directly; may assume the per-user role and publish TickerAdded events</w:t>
            </w:r>
          </w:p>
        </w:tc>
        <w:tc>
          <w:tcPr>
            <w:tcW w:w="3120" w:type="dxa"/>
          </w:tcPr>
          <w:p>
            <w:pPr/>
            <w:r>
              <w:t xml:space="preserve">Its role policy</w:t>
            </w:r>
          </w:p>
        </w:tc>
      </w:tr>
      <w:tr>
        <w:tc>
          <w:tcPr>
            <w:tcW w:w="3120" w:type="dxa"/>
          </w:tcPr>
          <w:p>
            <w:pPr/>
            <w:r>
              <w:t xml:space="preserve">Per-user role (assumed per request, tagged </w:t>
            </w:r>
            <w:r>
              <w:rPr>
                <w:rStyle w:val="CodeChar"/>
              </w:rPr>
              <w:t xml:space="preserve">sub</w:t>
            </w:r>
            <w:r>
              <w:t xml:space="preserve"> = the JWT's </w:t>
            </w:r>
            <w:r>
              <w:rPr>
                <w:rStyle w:val="CodeChar"/>
              </w:rPr>
              <w:t xml:space="preserve">sub</w:t>
            </w:r>
            <w:r>
              <w:t xml:space="preserve">)</w:t>
            </w:r>
          </w:p>
        </w:tc>
        <w:tc>
          <w:tcPr>
            <w:tcW w:w="3120" w:type="dxa"/>
          </w:tcPr>
          <w:p>
            <w:pPr/>
            <w:r>
              <w:t xml:space="preserve">Get, put, update, delete only the item whose </w:t>
            </w:r>
            <w:r>
              <w:rPr>
                <w:rStyle w:val="CodeChar"/>
              </w:rPr>
              <w:t xml:space="preserve">user_sub</w:t>
            </w:r>
            <w:r>
              <w:t xml:space="preserve"> equals that tag</w:t>
            </w:r>
          </w:p>
        </w:tc>
        <w:tc>
          <w:tcPr>
            <w:tcW w:w="3120" w:type="dxa"/>
          </w:tcPr>
          <w:p>
            <w:pPr/>
            <w:r>
              <w:rPr>
                <w:rStyle w:val="CodeChar"/>
              </w:rPr>
              <w:t xml:space="preserve">dynamodb:LeadingKeys</w:t>
            </w:r>
            <w:r>
              <w:t xml:space="preserve"> = </w:t>
            </w:r>
            <w:r>
              <w:rPr>
                <w:rStyle w:val="CodeChar"/>
              </w:rPr>
              <w:t xml:space="preserve">${aws:PrincipalTag/sub}</w:t>
            </w:r>
          </w:p>
        </w:tc>
      </w:tr>
      <w:tr>
        <w:tc>
          <w:tcPr>
            <w:tcW w:w="3120" w:type="dxa"/>
          </w:tcPr>
          <w:p>
            <w:pPr/>
            <w:r>
              <w:t xml:space="preserve">Collectors (trend metrics, short interest, options, and H1/H2/D4 when built)</w:t>
            </w:r>
          </w:p>
        </w:tc>
        <w:tc>
          <w:tcPr>
            <w:tcW w:w="3120" w:type="dxa"/>
          </w:tcPr>
          <w:p>
            <w:pPr/>
            <w:r>
              <w:t xml:space="preserve">Scan returning only </w:t>
            </w:r>
            <w:r>
              <w:rPr>
                <w:rStyle w:val="CodeChar"/>
              </w:rPr>
              <w:t xml:space="preserve">user_sub</w:t>
            </w:r>
            <w:r>
              <w:t xml:space="preserve"> and </w:t>
            </w:r>
            <w:r>
              <w:rPr>
                <w:rStyle w:val="CodeChar"/>
              </w:rPr>
              <w:t xml:space="preserve">tickers</w:t>
            </w:r>
          </w:p>
        </w:tc>
        <w:tc>
          <w:tcPr>
            <w:tcW w:w="3120" w:type="dxa"/>
          </w:tcPr>
          <w:p>
            <w:pPr/>
            <w:r>
              <w:rPr>
                <w:rStyle w:val="CodeChar"/>
              </w:rPr>
              <w:t xml:space="preserve">dynamodb:Select</w:t>
            </w:r>
            <w:r>
              <w:t xml:space="preserve"> = SPECIFIC_ATTRIBUTES and </w:t>
            </w:r>
            <w:r>
              <w:rPr>
                <w:rStyle w:val="CodeChar"/>
              </w:rPr>
              <w:t xml:space="preserve">dynamodb:Attributes</w:t>
            </w:r>
          </w:p>
        </w:tc>
      </w:tr>
      <w:tr>
        <w:tc>
          <w:tcPr>
            <w:tcW w:w="3120" w:type="dxa"/>
          </w:tcPr>
          <w:p>
            <w:pPr/>
            <w:r>
              <w:t xml:space="preserve">Everyone else</w:t>
            </w:r>
          </w:p>
        </w:tc>
        <w:tc>
          <w:tcPr>
            <w:tcW w:w="3120" w:type="dxa"/>
          </w:tcPr>
          <w:p>
            <w:pPr/>
            <w:r>
              <w:t xml:space="preserve">Nothing</w:t>
            </w:r>
          </w:p>
        </w:tc>
        <w:tc>
          <w:tcPr>
            <w:tcW w:w="3120" w:type="dxa"/>
          </w:tcPr>
          <w:p>
            <w:pPr/>
            <w:r>
              <w:t xml:space="preserve">No grant</w:t>
            </w:r>
          </w:p>
        </w:tc>
      </w:tr>
    </w:tbl>
    <w:p>
      <w:pPr/>
      <w:r>
        <w:rPr>
          <w:b/>
        </w:rPr>
        <w:t xml:space="preserve">Why session tags rather than a Cognito variable:</w:t>
      </w:r>
      <w:r>
        <w:t xml:space="preserve"> IAM can't read a Cognito user-pool </w:t>
      </w:r>
      <w:r>
        <w:rPr>
          <w:rStyle w:val="CodeChar"/>
        </w:rPr>
        <w:t xml:space="preserve">sub</w:t>
      </w:r>
      <w:r>
        <w:t xml:space="preserve"> directly. The </w:t>
      </w:r>
      <w:r>
        <w:rPr>
          <w:rStyle w:val="CodeChar"/>
        </w:rPr>
        <w:t xml:space="preserve">${cognito-identity.amazonaws.com:sub}</w:t>
      </w:r>
      <w:r>
        <w:t xml:space="preserve"> policy variable is an identity-pool ID, a different value. So the API function passes the verified JWT </w:t>
      </w:r>
      <w:r>
        <w:rPr>
          <w:rStyle w:val="CodeChar"/>
        </w:rPr>
        <w:t xml:space="preserve">sub</w:t>
      </w:r>
      <w:r>
        <w:t xml:space="preserve"> as a session tag, and IAM enforces the isolation even if the function code has a bug.</w:t>
      </w:r>
    </w:p>
    <w:p>
      <w:pPr>
        <w:pStyle w:val="Heading3"/>
      </w:pPr>
      <w:r>
        <w:t xml:space="preserve">Ticker universe and free-tier limits</w:t>
      </w:r>
    </w:p>
    <w:p>
      <w:pPr/>
      <w:r>
        <w:t xml:space="preserve">Collectors cover TSLA and SPCX plus users' tickers ranked by how many users follow them, capped at 25 (</w:t>
      </w:r>
      <w:r>
        <w:rPr>
          <w:rStyle w:val="CodeChar"/>
        </w:rPr>
        <w:t xml:space="preserve">max_user_tickers</w:t>
      </w:r>
      <w:r>
        <w:t xml:space="preserve">). The seven index ETF proxies are collected separately. Tickers over the cap are logged as dropped.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Provider</w:t>
            </w:r>
          </w:p>
        </w:tc>
        <w:tc>
          <w:tcPr>
            <w:tcW w:w="2340" w:type="dxa"/>
            <w:shd w:val="clear" w:color="auto" w:fill="F2F2F2"/>
          </w:tcPr>
          <w:p>
            <w:pPr/>
            <w:r>
              <w:t xml:space="preserve">Cost of each extra ticker</w:t>
            </w:r>
          </w:p>
        </w:tc>
        <w:tc>
          <w:tcPr>
            <w:tcW w:w="2340" w:type="dxa"/>
            <w:shd w:val="clear" w:color="auto" w:fill="F2F2F2"/>
          </w:tcPr>
          <w:p>
            <w:pPr/>
            <w:r>
              <w:t xml:space="preserve">Free limit</w:t>
            </w:r>
          </w:p>
        </w:tc>
        <w:tc>
          <w:tcPr>
            <w:tcW w:w="2340" w:type="dxa"/>
            <w:shd w:val="clear" w:color="auto" w:fill="F2F2F2"/>
          </w:tcPr>
          <w:p>
            <w:pPr/>
            <w:r>
              <w:t xml:space="preserve">At the 25-ticker cap</w:t>
            </w:r>
          </w:p>
        </w:tc>
      </w:tr>
      <w:tr>
        <w:tc>
          <w:tcPr>
            <w:tcW w:w="2340" w:type="dxa"/>
          </w:tcPr>
          <w:p>
            <w:pPr/>
            <w:r>
              <w:t xml:space="preserve">Alpaca bars (H1, D4)</w:t>
            </w:r>
          </w:p>
        </w:tc>
        <w:tc>
          <w:tcPr>
            <w:tcW w:w="2340" w:type="dxa"/>
          </w:tcPr>
          <w:p>
            <w:pPr/>
            <w:r>
              <w:t xml:space="preserve">None: one call covers up to 100 symbols</w:t>
            </w:r>
          </w:p>
        </w:tc>
        <w:tc>
          <w:tcPr>
            <w:tcW w:w="2340" w:type="dxa"/>
          </w:tcPr>
          <w:p>
            <w:pPr/>
            <w:r>
              <w:t xml:space="preserve">200 calls/min</w:t>
            </w:r>
          </w:p>
        </w:tc>
        <w:tc>
          <w:tcPr>
            <w:tcW w:w="2340" w:type="dxa"/>
          </w:tcPr>
          <w:p>
            <w:pPr/>
            <w:r>
              <w:t xml:space="preserve">No change</w:t>
            </w:r>
          </w:p>
        </w:tc>
      </w:tr>
      <w:tr>
        <w:tc>
          <w:tcPr>
            <w:tcW w:w="2340" w:type="dxa"/>
          </w:tcPr>
          <w:p>
            <w:pPr/>
            <w:r>
              <w:t xml:space="preserve">Finnhub company news (H2)</w:t>
            </w:r>
          </w:p>
        </w:tc>
        <w:tc>
          <w:tcPr>
            <w:tcW w:w="2340" w:type="dxa"/>
          </w:tcPr>
          <w:p>
            <w:pPr/>
            <w:r>
              <w:t xml:space="preserve">1 call per run</w:t>
            </w:r>
          </w:p>
        </w:tc>
        <w:tc>
          <w:tcPr>
            <w:tcW w:w="2340" w:type="dxa"/>
          </w:tcPr>
          <w:p>
            <w:pPr/>
            <w:r>
              <w:t xml:space="preserve">60 calls/min</w:t>
            </w:r>
          </w:p>
        </w:tc>
        <w:tc>
          <w:tcPr>
            <w:tcW w:w="2340" w:type="dxa"/>
          </w:tcPr>
          <w:p>
            <w:pPr/>
            <w:r>
              <w:t xml:space="preserve">27 calls per hourly run, fits</w:t>
            </w:r>
          </w:p>
        </w:tc>
      </w:tr>
      <w:tr>
        <w:tc>
          <w:tcPr>
            <w:tcW w:w="2340" w:type="dxa"/>
          </w:tcPr>
          <w:p>
            <w:pPr/>
            <w:r>
              <w:t xml:space="preserve">Massive daily close check (D4)</w:t>
            </w:r>
          </w:p>
        </w:tc>
        <w:tc>
          <w:tcPr>
            <w:tcW w:w="2340" w:type="dxa"/>
          </w:tcPr>
          <w:p>
            <w:pPr/>
            <w:r>
              <w:t xml:space="preserve">1 call per day</w:t>
            </w:r>
          </w:p>
        </w:tc>
        <w:tc>
          <w:tcPr>
            <w:tcW w:w="2340" w:type="dxa"/>
          </w:tcPr>
          <w:p>
            <w:pPr/>
            <w:r>
              <w:t xml:space="preserve">5 calls/min</w:t>
            </w:r>
          </w:p>
        </w:tc>
        <w:tc>
          <w:tcPr>
            <w:tcW w:w="2340" w:type="dxa"/>
          </w:tcPr>
          <w:p>
            <w:pPr/>
            <w:r>
              <w:t xml:space="preserve">34 calls, about 7 minutes, fits the 15-minute timeout</w:t>
            </w:r>
          </w:p>
        </w:tc>
      </w:tr>
      <w:tr>
        <w:tc>
          <w:tcPr>
            <w:tcW w:w="2340" w:type="dxa"/>
          </w:tcPr>
          <w:p>
            <w:pPr/>
            <w:r>
              <w:t xml:space="preserve">Alpha Vantage sentiment (H2)</w:t>
            </w:r>
          </w:p>
        </w:tc>
        <w:tc>
          <w:tcPr>
            <w:tcW w:w="2340" w:type="dxa"/>
          </w:tcPr>
          <w:p>
            <w:pPr/>
            <w:r>
              <w:t xml:space="preserve">Not covered: see below</w:t>
            </w:r>
          </w:p>
        </w:tc>
        <w:tc>
          <w:tcPr>
            <w:tcW w:w="2340" w:type="dxa"/>
          </w:tcPr>
          <w:p>
            <w:pPr/>
            <w:r>
              <w:t xml:space="preserve">25 calls/day</w:t>
            </w:r>
          </w:p>
        </w:tc>
        <w:tc>
          <w:tcPr>
            <w:tcW w:w="2340" w:type="dxa"/>
          </w:tcPr>
          <w:p>
            <w:pPr/>
            <w:r>
              <w:t xml:space="preserve">Stays at 16 calls/day</w:t>
            </w:r>
          </w:p>
        </w:tc>
      </w:tr>
      <w:tr>
        <w:tc>
          <w:tcPr>
            <w:tcW w:w="2340" w:type="dxa"/>
          </w:tcPr>
          <w:p>
            <w:pPr/>
            <w:r>
              <w:t xml:space="preserve">FINRA short interest</w:t>
            </w:r>
          </w:p>
        </w:tc>
        <w:tc>
          <w:tcPr>
            <w:tcW w:w="2340" w:type="dxa"/>
          </w:tcPr>
          <w:p>
            <w:pPr/>
            <w:r>
              <w:t xml:space="preserve">None: one query for all tickers</w:t>
            </w:r>
          </w:p>
        </w:tc>
        <w:tc>
          <w:tcPr>
            <w:tcW w:w="2340" w:type="dxa"/>
          </w:tcPr>
          <w:p>
            <w:pPr/>
            <w:r>
              <w:t xml:space="preserve">1,200 calls/min</w:t>
            </w:r>
          </w:p>
        </w:tc>
        <w:tc>
          <w:tcPr>
            <w:tcW w:w="2340" w:type="dxa"/>
          </w:tcPr>
          <w:p>
            <w:pPr/>
            <w:r>
              <w:t xml:space="preserve">1 call a day</w:t>
            </w:r>
          </w:p>
        </w:tc>
      </w:tr>
      <w:tr>
        <w:tc>
          <w:tcPr>
            <w:tcW w:w="2340" w:type="dxa"/>
          </w:tcPr>
          <w:p>
            <w:pPr/>
            <w:r>
              <w:t xml:space="preserve">Alpaca options (if enabled)</w:t>
            </w:r>
          </w:p>
        </w:tc>
        <w:tc>
          <w:tcPr>
            <w:tcW w:w="2340" w:type="dxa"/>
          </w:tcPr>
          <w:p>
            <w:pPr/>
            <w:r>
              <w:t xml:space="preserve">1–5 chain pages</w:t>
            </w:r>
          </w:p>
        </w:tc>
        <w:tc>
          <w:tcPr>
            <w:tcW w:w="2340" w:type="dxa"/>
          </w:tcPr>
          <w:p>
            <w:pPr/>
            <w:r>
              <w:t xml:space="preserve">200 calls/min</w:t>
            </w:r>
          </w:p>
        </w:tc>
        <w:tc>
          <w:tcPr>
            <w:tcW w:w="2340" w:type="dxa"/>
          </w:tcPr>
          <w:p>
            <w:pPr/>
            <w:r>
              <w:t xml:space="preserve">Fits</w:t>
            </w:r>
          </w:p>
        </w:tc>
      </w:tr>
      <w:tr>
        <w:tc>
          <w:tcPr>
            <w:tcW w:w="2340" w:type="dxa"/>
          </w:tcPr>
          <w:p>
            <w:pPr/>
            <w:r>
              <w:t xml:space="preserve">Yahoo backfill</w:t>
            </w:r>
          </w:p>
        </w:tc>
        <w:tc>
          <w:tcPr>
            <w:tcW w:w="2340" w:type="dxa"/>
          </w:tcPr>
          <w:p>
            <w:pPr/>
            <w:r>
              <w:t xml:space="preserve">1 call, once per new ticker</w:t>
            </w:r>
          </w:p>
        </w:tc>
        <w:tc>
          <w:tcPr>
            <w:tcW w:w="2340" w:type="dxa"/>
          </w:tcPr>
          <w:p>
            <w:pPr/>
            <w:r>
              <w:t xml:space="preserve">Unofficial, no SLA</w:t>
            </w:r>
          </w:p>
        </w:tc>
        <w:tc>
          <w:tcPr>
            <w:tcW w:w="2340" w:type="dxa"/>
          </w:tcPr>
          <w:p>
            <w:pPr/>
            <w:r>
              <w:t xml:space="preserve">Fits</w:t>
            </w:r>
          </w:p>
        </w:tc>
      </w:tr>
    </w:tbl>
    <w:p>
      <w:pPr/>
      <w:r>
        <w:rPr>
          <w:b/>
        </w:rPr>
        <w:t xml:space="preserve">Correction to the source catalog:</w:t>
      </w:r>
      <w:r>
        <w:t xml:space="preserve"> DS-40 assumed one Alpha Vantage call covers TSLA and SPCX together. Alpha Vantage's multi-ticker filter matches articles that mention </w:t>
      </w:r>
      <w:r>
        <w:rPr>
          <w:i/>
        </w:rPr>
        <w:t xml:space="preserve">all</w:t>
      </w:r>
      <w:r>
        <w:t xml:space="preserve"> listed tickers (per its API documentation; worth confirming on the first run). So each call now covers one ticker: 6 for TSLA, 6 for SPCX, and 4 rotating daily through other users' tickers.</w:t>
      </w:r>
    </w:p>
    <w:p>
      <w:pPr>
        <w:pStyle w:val="Heading3"/>
      </w:pPr>
      <w:r>
        <w:t xml:space="preserve">Trend metrics</w:t>
      </w:r>
    </w:p>
    <w:p>
      <w:pPr/>
      <w:r>
        <w:t xml:space="preserve">The </w:t>
      </w:r>
      <w:r>
        <w:rPr>
          <w:rStyle w:val="CodeChar"/>
        </w:rPr>
        <w:t xml:space="preserve">trend-metrics</w:t>
      </w:r>
      <w:r>
        <w:t xml:space="preserve"> job runs when D4 (daily close) or M1 (release day) finishes successfully. It measures how each macro driver is moving and how strongly it has tracked each ticker. Drivers: Treasury yields and spreads, real yield, breakevens, fed funds, EFFR, SOFR, VIX, dollar index, oil, the policy-uncertainty index, CPI/core CPI/PCE YoY, and the seven ETF proxies.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Definition</w:t>
            </w:r>
          </w:p>
        </w:tc>
      </w:tr>
      <w:tr>
        <w:tc>
          <w:tcPr>
            <w:tcW w:w="4680" w:type="dxa"/>
          </w:tcPr>
          <w:p>
            <w:pPr/>
            <w:r>
              <w:rPr>
                <w:rStyle w:val="CodeChar"/>
              </w:rPr>
              <w:t xml:space="preserve">chg_1w</w:t>
            </w:r>
            <w:r>
              <w:t xml:space="preserve">, </w:t>
            </w:r>
            <w:r>
              <w:rPr>
                <w:rStyle w:val="CodeChar"/>
              </w:rPr>
              <w:t xml:space="preserve">chg_1m</w:t>
            </w:r>
            <w:r>
              <w:t xml:space="preserve">, </w:t>
            </w:r>
            <w:r>
              <w:rPr>
                <w:rStyle w:val="CodeChar"/>
              </w:rPr>
              <w:t xml:space="preserve">chg_3m</w:t>
            </w:r>
          </w:p>
        </w:tc>
        <w:tc>
          <w:tcPr>
            <w:tcW w:w="4680" w:type="dxa"/>
          </w:tcPr>
          <w:p>
            <w:pPr/>
            <w:r>
              <w:t xml:space="preserve">Change over 5, 21 and 63 trading days: percent for prices and indices, level change for rates and spreads</w:t>
            </w:r>
          </w:p>
        </w:tc>
      </w:tr>
      <w:tr>
        <w:tc>
          <w:tcPr>
            <w:tcW w:w="4680" w:type="dxa"/>
          </w:tcPr>
          <w:p>
            <w:pPr/>
            <w:r>
              <w:rPr>
                <w:rStyle w:val="CodeChar"/>
              </w:rPr>
              <w:t xml:space="preserve">z_1w</w:t>
            </w:r>
            <w:r>
              <w:t xml:space="preserve">, </w:t>
            </w:r>
            <w:r>
              <w:rPr>
                <w:rStyle w:val="CodeChar"/>
              </w:rPr>
              <w:t xml:space="preserve">z_1m</w:t>
            </w:r>
            <w:r>
              <w:t xml:space="preserve">, </w:t>
            </w:r>
            <w:r>
              <w:rPr>
                <w:rStyle w:val="CodeChar"/>
              </w:rPr>
              <w:t xml:space="preserve">z_3m</w:t>
            </w:r>
          </w:p>
        </w:tc>
        <w:tc>
          <w:tcPr>
            <w:tcW w:w="4680" w:type="dxa"/>
          </w:tcPr>
          <w:p>
            <w:pPr/>
            <w:r>
              <w:t xml:space="preserve">That change against its own trailing 252-day mean and standard deviation</w:t>
            </w:r>
          </w:p>
        </w:tc>
      </w:tr>
      <w:tr>
        <w:tc>
          <w:tcPr>
            <w:tcW w:w="4680" w:type="dxa"/>
          </w:tcPr>
          <w:p>
            <w:pPr/>
            <w:r>
              <w:rPr>
                <w:rStyle w:val="CodeChar"/>
              </w:rPr>
              <w:t xml:space="preserve">range_pct_1y</w:t>
            </w:r>
          </w:p>
        </w:tc>
        <w:tc>
          <w:tcPr>
            <w:tcW w:w="4680" w:type="dxa"/>
          </w:tcPr>
          <w:p>
            <w:pPr/>
            <w:r>
              <w:t xml:space="preserve">Where today's value sits in its 1-year high–low range, 0–100</w:t>
            </w:r>
          </w:p>
        </w:tc>
      </w:tr>
      <w:tr>
        <w:tc>
          <w:tcPr>
            <w:tcW w:w="4680" w:type="dxa"/>
          </w:tcPr>
          <w:p>
            <w:pPr/>
            <w:r>
              <w:rPr>
                <w:rStyle w:val="CodeChar"/>
              </w:rPr>
              <w:t xml:space="preserve">trend_state</w:t>
            </w:r>
            <w:r>
              <w:t xml:space="preserve">, </w:t>
            </w:r>
            <w:r>
              <w:rPr>
                <w:rStyle w:val="CodeChar"/>
              </w:rPr>
              <w:t xml:space="preserve">days_in_state</w:t>
            </w:r>
          </w:p>
        </w:tc>
        <w:tc>
          <w:tcPr>
            <w:tcW w:w="4680" w:type="dxa"/>
          </w:tcPr>
          <w:p>
            <w:pPr/>
            <w:r>
              <w:rPr>
                <w:rStyle w:val="CodeChar"/>
              </w:rPr>
              <w:t xml:space="preserve">up</w:t>
            </w:r>
            <w:r>
              <w:t xml:space="preserve"> if z_1m &gt; 0.5, </w:t>
            </w:r>
            <w:r>
              <w:rPr>
                <w:rStyle w:val="CodeChar"/>
              </w:rPr>
              <w:t xml:space="preserve">down</w:t>
            </w:r>
            <w:r>
              <w:t xml:space="preserve"> if &lt; −0.5, else </w:t>
            </w:r>
            <w:r>
              <w:rPr>
                <w:rStyle w:val="CodeChar"/>
              </w:rPr>
              <w:t xml:space="preserve">flat</w:t>
            </w:r>
            <w:r>
              <w:t xml:space="preserve">; and how many days it has held</w:t>
            </w:r>
          </w:p>
        </w:tc>
      </w:tr>
      <w:tr>
        <w:tc>
          <w:tcPr>
            <w:tcW w:w="4680" w:type="dxa"/>
          </w:tcPr>
          <w:p>
            <w:pPr/>
            <w:r>
              <w:rPr>
                <w:rStyle w:val="CodeChar"/>
              </w:rPr>
              <w:t xml:space="preserve">corr_30d</w:t>
            </w:r>
            <w:r>
              <w:t xml:space="preserve">, </w:t>
            </w:r>
            <w:r>
              <w:rPr>
                <w:rStyle w:val="CodeChar"/>
              </w:rPr>
              <w:t xml:space="preserve">corr_90d</w:t>
            </w:r>
          </w:p>
        </w:tc>
        <w:tc>
          <w:tcPr>
            <w:tcW w:w="4680" w:type="dxa"/>
          </w:tcPr>
          <w:p>
            <w:pPr/>
            <w:r>
              <w:t xml:space="preserve">Rolling correlation of the driver's daily change with the ticker's daily return</w:t>
            </w:r>
          </w:p>
        </w:tc>
      </w:tr>
      <w:tr>
        <w:tc>
          <w:tcPr>
            <w:tcW w:w="4680" w:type="dxa"/>
          </w:tcPr>
          <w:p>
            <w:pPr/>
            <w:r>
              <w:rPr>
                <w:rStyle w:val="CodeChar"/>
              </w:rPr>
              <w:t xml:space="preserve">effect</w:t>
            </w:r>
          </w:p>
        </w:tc>
        <w:tc>
          <w:tcPr>
            <w:tcW w:w="4680" w:type="dxa"/>
          </w:tcPr>
          <w:p>
            <w:pPr/>
            <w:r>
              <w:t xml:space="preserve">corr_90d × z_1m</w:t>
            </w:r>
          </w:p>
        </w:tc>
      </w:tr>
      <w:tr>
        <w:tc>
          <w:tcPr>
            <w:tcW w:w="4680" w:type="dxa"/>
          </w:tcPr>
          <w:p>
            <w:pPr/>
            <w:r>
              <w:rPr>
                <w:rStyle w:val="CodeChar"/>
              </w:rPr>
              <w:t xml:space="preserve">net_pressure</w:t>
            </w:r>
          </w:p>
        </w:tc>
        <w:tc>
          <w:tcPr>
            <w:tcW w:w="4680" w:type="dxa"/>
          </w:tcPr>
          <w:p>
            <w:pPr/>
            <w:r>
              <w:t xml:space="preserve">tanh(sum of effect across drivers ÷ 3), the same value on every row of a ticker and date</w:t>
            </w:r>
          </w:p>
        </w:tc>
      </w:tr>
    </w:tbl>
    <w:p>
      <w:pPr/>
      <w:r>
        <w:t xml:space="preserve">Monthly series hold their last released value until the next release. Output goes to </w:t>
      </w:r>
      <w:r>
        <w:rPr>
          <w:rStyle w:val="CodeChar"/>
        </w:rPr>
        <w:t xml:space="preserve">serving/trend_metrics/ticker=&lt;T&gt;/trend_metrics.parquet</w:t>
      </w:r>
      <w:r>
        <w:t xml:space="preserve"> (full history) and </w:t>
      </w:r>
      <w:r>
        <w:rPr>
          <w:rStyle w:val="CodeChar"/>
        </w:rPr>
        <w:t xml:space="preserve">serving/trend_metrics/latest/&lt;T&gt;.json</w:t>
      </w:r>
      <w:r>
        <w:t xml:space="preserve"> (last trading day, for the trend cards).</w:t>
      </w:r>
    </w:p>
    <w:p>
      <w:pPr>
        <w:pStyle w:val="Heading3"/>
      </w:pPr>
      <w:r>
        <w:t xml:space="preserve">Quarterly fundamentals</w:t>
      </w:r>
    </w:p>
    <w:p>
      <w:pPr>
        <w:pStyle w:val="ListParagraph"/>
        <w:numPr>
          <w:ilvl w:val="0"/>
          <w:numId w:val="5"/>
        </w:numPr>
      </w:pPr>
      <w:r>
        <w:rPr>
          <w:b/>
        </w:rPr>
        <w:t xml:space="preserve">Gross margin:</w:t>
      </w:r>
      <w:r>
        <w:t xml:space="preserve"> total GAAP gross margin = GrossProfit ÷ Revenues from SEC XBRL company facts (DS-11). </w:t>
      </w:r>
      <w:r>
        <w:rPr>
          <w:rStyle w:val="CodeChar"/>
        </w:rPr>
        <w:t xml:space="preserve">release_date</w:t>
      </w:r>
      <w:r>
        <w:t xml:space="preserve"> is the SEC filing date. Q4 = full year minus Q1–Q3, because Q4 isn't filed on its own.</w:t>
      </w:r>
    </w:p>
    <w:p>
      <w:pPr>
        <w:pStyle w:val="ListParagraph"/>
        <w:numPr>
          <w:ilvl w:val="0"/>
          <w:numId w:val="5"/>
        </w:numPr>
      </w:pPr>
      <w:r>
        <w:rPr>
          <w:b/>
        </w:rPr>
        <w:t xml:space="preserve">Deliveries and FSD subscribers:</w:t>
      </w:r>
      <w:r>
        <w:t xml:space="preserve"> not in XBRL, so they come from a reviewed manual file. </w:t>
      </w:r>
      <w:r>
        <w:rPr>
          <w:rStyle w:val="CodeChar"/>
        </w:rPr>
        <w:t xml:space="preserve">scripts/add_fundamental.py</w:t>
      </w:r>
      <w:r>
        <w:t xml:space="preserve"> validates each row and appends it to </w:t>
      </w:r>
      <w:r>
        <w:rPr>
          <w:rStyle w:val="CodeChar"/>
        </w:rPr>
        <w:t xml:space="preserve">manual/fundamentals/fundamentals_manual.csv</w:t>
      </w:r>
      <w:r>
        <w:t xml:space="preserve">. A later row for the same quarter replaces the earlier one.</w:t>
      </w:r>
    </w:p>
    <w:p>
      <w:pPr>
        <w:pStyle w:val="ListParagraph"/>
        <w:numPr>
          <w:ilvl w:val="0"/>
          <w:numId w:val="5"/>
        </w:numPr>
      </w:pPr>
      <w:r>
        <w:rPr>
          <w:b/>
        </w:rPr>
        <w:t xml:space="preserve">Schedule:</w:t>
      </w:r>
      <w:r>
        <w:t xml:space="preserve"> Monday 08:30 ET as a safety net, plus a one-off run the day after earnings, scheduled by D1.</w:t>
      </w:r>
    </w:p>
    <w:p>
      <w:pPr>
        <w:pStyle w:val="ListParagraph"/>
        <w:numPr>
          <w:ilvl w:val="0"/>
          <w:numId w:val="5"/>
        </w:numPr>
      </w:pPr>
      <w:r>
        <w:t xml:space="preserve">Fiscal quarters assume a calendar fiscal year (true for Tesla); SPCX's must be confirmed from its 10-K.</w:t>
      </w:r>
    </w:p>
    <w:p>
      <w:pPr>
        <w:pStyle w:val="Heading3"/>
      </w:pPr>
      <w:r>
        <w:t xml:space="preserve">New jobs and schedules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Job</w:t>
            </w:r>
          </w:p>
        </w:tc>
        <w:tc>
          <w:tcPr>
            <w:tcW w:w="2340" w:type="dxa"/>
            <w:shd w:val="clear" w:color="auto" w:fill="F2F2F2"/>
          </w:tcPr>
          <w:p>
            <w:pPr/>
            <w:r>
              <w:t xml:space="preserve">When (ET)</w:t>
            </w:r>
          </w:p>
        </w:tc>
        <w:tc>
          <w:tcPr>
            <w:tcW w:w="2340" w:type="dxa"/>
            <w:shd w:val="clear" w:color="auto" w:fill="F2F2F2"/>
          </w:tcPr>
          <w:p>
            <w:pPr/>
            <w:r>
              <w:t xml:space="preserve">Source</w:t>
            </w:r>
          </w:p>
        </w:tc>
        <w:tc>
          <w:tcPr>
            <w:tcW w:w="2340" w:type="dxa"/>
            <w:shd w:val="clear" w:color="auto" w:fill="F2F2F2"/>
          </w:tcPr>
          <w:p>
            <w:pPr/>
            <w:r>
              <w:t xml:space="preserve">Writes</w:t>
            </w:r>
          </w:p>
        </w:tc>
      </w:tr>
      <w:tr>
        <w:tc>
          <w:tcPr>
            <w:tcW w:w="2340" w:type="dxa"/>
          </w:tcPr>
          <w:p>
            <w:pPr/>
            <w:r>
              <w:rPr>
                <w:rStyle w:val="CodeChar"/>
              </w:rPr>
              <w:t xml:space="preserve">trend-metrics</w:t>
            </w:r>
          </w:p>
        </w:tc>
        <w:tc>
          <w:tcPr>
            <w:tcW w:w="2340" w:type="dxa"/>
          </w:tcPr>
          <w:p>
            <w:pPr/>
            <w:r>
              <w:t xml:space="preserve">After D4 or M1 succeeds</w:t>
            </w:r>
          </w:p>
        </w:tc>
        <w:tc>
          <w:tcPr>
            <w:tcW w:w="2340" w:type="dxa"/>
          </w:tcPr>
          <w:p>
            <w:pPr/>
            <w:r>
              <w:t xml:space="preserve">curated prices and macro</w:t>
            </w:r>
          </w:p>
        </w:tc>
        <w:tc>
          <w:tcPr>
            <w:tcW w:w="2340" w:type="dxa"/>
          </w:tcPr>
          <w:p>
            <w:pPr/>
            <w:r>
              <w:rPr>
                <w:rStyle w:val="CodeChar"/>
              </w:rPr>
              <w:t xml:space="preserve">serving/trend_metrics/</w:t>
            </w:r>
          </w:p>
        </w:tc>
      </w:tr>
      <w:tr>
        <w:tc>
          <w:tcPr>
            <w:tcW w:w="2340" w:type="dxa"/>
          </w:tcPr>
          <w:p>
            <w:pPr/>
            <w:r>
              <w:rPr>
                <w:rStyle w:val="CodeChar"/>
              </w:rPr>
              <w:t xml:space="preserve">q1-fundamentals</w:t>
            </w:r>
          </w:p>
        </w:tc>
        <w:tc>
          <w:tcPr>
            <w:tcW w:w="2340" w:type="dxa"/>
          </w:tcPr>
          <w:p>
            <w:pPr/>
            <w:r>
              <w:t xml:space="preserve">Mon 08:30 + day after earnings</w:t>
            </w:r>
          </w:p>
        </w:tc>
        <w:tc>
          <w:tcPr>
            <w:tcW w:w="2340" w:type="dxa"/>
          </w:tcPr>
          <w:p>
            <w:pPr/>
            <w:r>
              <w:t xml:space="preserve">SEC XBRL (DS-11), manual file (DS-12)</w:t>
            </w:r>
          </w:p>
        </w:tc>
        <w:tc>
          <w:tcPr>
            <w:tcW w:w="2340" w:type="dxa"/>
          </w:tcPr>
          <w:p>
            <w:pPr/>
            <w:r>
              <w:rPr>
                <w:rStyle w:val="CodeChar"/>
              </w:rPr>
              <w:t xml:space="preserve">curated/</w:t>
            </w:r>
            <w:r>
              <w:t xml:space="preserve"> and </w:t>
            </w:r>
            <w:r>
              <w:rPr>
                <w:rStyle w:val="CodeChar"/>
              </w:rPr>
              <w:t xml:space="preserve">serving/fundamentals_quarterly.json</w:t>
            </w:r>
          </w:p>
        </w:tc>
      </w:tr>
      <w:tr>
        <w:tc>
          <w:tcPr>
            <w:tcW w:w="2340" w:type="dxa"/>
          </w:tcPr>
          <w:p>
            <w:pPr/>
            <w:r>
              <w:rPr>
                <w:rStyle w:val="CodeChar"/>
              </w:rPr>
              <w:t xml:space="preserve">short-interest</w:t>
            </w:r>
          </w:p>
        </w:tc>
        <w:tc>
          <w:tcPr>
            <w:tcW w:w="2340" w:type="dxa"/>
          </w:tcPr>
          <w:p>
            <w:pPr/>
            <w:r>
              <w:t xml:space="preserve">18:30 Mon–Fri; stores only new settlement dates, so data lands twice a month on FINRA's publication days</w:t>
            </w:r>
          </w:p>
        </w:tc>
        <w:tc>
          <w:tcPr>
            <w:tcW w:w="2340" w:type="dxa"/>
          </w:tcPr>
          <w:p>
            <w:pPr/>
            <w:r>
              <w:t xml:space="preserve">FINRA (DS-91, OAuth keys in SSM)</w:t>
            </w:r>
          </w:p>
        </w:tc>
        <w:tc>
          <w:tcPr>
            <w:tcW w:w="2340" w:type="dxa"/>
          </w:tcPr>
          <w:p>
            <w:pPr/>
            <w:r>
              <w:rPr>
                <w:rStyle w:val="CodeChar"/>
              </w:rPr>
              <w:t xml:space="preserve">curated/short_interest/</w:t>
            </w:r>
          </w:p>
        </w:tc>
      </w:tr>
      <w:tr>
        <w:tc>
          <w:tcPr>
            <w:tcW w:w="2340" w:type="dxa"/>
          </w:tcPr>
          <w:p>
            <w:pPr/>
            <w:r>
              <w:rPr>
                <w:rStyle w:val="CodeChar"/>
              </w:rPr>
              <w:t xml:space="preserve">options-daily</w:t>
            </w:r>
          </w:p>
        </w:tc>
        <w:tc>
          <w:tcPr>
            <w:tcW w:w="2340" w:type="dxa"/>
          </w:tcPr>
          <w:p>
            <w:pPr/>
            <w:r>
              <w:t xml:space="preserve">16:50 Mon–Fri, after D4</w:t>
            </w:r>
          </w:p>
        </w:tc>
        <w:tc>
          <w:tcPr>
            <w:tcW w:w="2340" w:type="dxa"/>
          </w:tcPr>
          <w:p>
            <w:pPr/>
            <w:r>
              <w:t xml:space="preserve">Alpaca indicative options (DS-92)</w:t>
            </w:r>
          </w:p>
        </w:tc>
        <w:tc>
          <w:tcPr>
            <w:tcW w:w="2340" w:type="dxa"/>
          </w:tcPr>
          <w:p>
            <w:pPr/>
            <w:r>
              <w:rPr>
                <w:rStyle w:val="CodeChar"/>
              </w:rPr>
              <w:t xml:space="preserve">curated/options_daily/</w:t>
            </w:r>
            <w:r>
              <w:t xml:space="preserve">; </w:t>
            </w:r>
            <w:r>
              <w:rPr>
                <w:b/>
              </w:rPr>
              <w:t xml:space="preserve">off</w:t>
            </w:r>
            <w:r>
              <w:t xml:space="preserve"> until a manual run confirms the free feed and whether it includes IV</w:t>
            </w:r>
          </w:p>
        </w:tc>
      </w:tr>
      <w:tr>
        <w:tc>
          <w:tcPr>
            <w:tcW w:w="2340" w:type="dxa"/>
          </w:tcPr>
          <w:p>
            <w:pPr/>
            <w:r>
              <w:rPr>
                <w:rStyle w:val="CodeChar"/>
              </w:rPr>
              <w:t xml:space="preserve">backfill</w:t>
            </w:r>
          </w:p>
        </w:tc>
        <w:tc>
          <w:tcPr>
            <w:tcW w:w="2340" w:type="dxa"/>
          </w:tcPr>
          <w:p>
            <w:pPr/>
            <w:r>
              <w:t xml:space="preserve">When a user adds a ticker nobody followed, and once at setup (O1)</w:t>
            </w:r>
          </w:p>
        </w:tc>
        <w:tc>
          <w:tcPr>
            <w:tcW w:w="2340" w:type="dxa"/>
          </w:tcPr>
          <w:p>
            <w:pPr/>
            <w:r>
              <w:t xml:space="preserve">Yahoo (DS-05)</w:t>
            </w:r>
          </w:p>
        </w:tc>
        <w:tc>
          <w:tcPr>
            <w:tcW w:w="2340" w:type="dxa"/>
          </w:tcPr>
          <w:p>
            <w:pPr/>
            <w:r>
              <w:rPr>
                <w:rStyle w:val="CodeChar"/>
              </w:rPr>
              <w:t xml:space="preserve">curated/prices_daily/</w:t>
            </w:r>
          </w:p>
        </w:tc>
      </w:tr>
      <w:tr>
        <w:tc>
          <w:tcPr>
            <w:tcW w:w="2340" w:type="dxa"/>
          </w:tcPr>
          <w:p>
            <w:pPr/>
            <w:r>
              <w:rPr>
                <w:rStyle w:val="CodeChar"/>
              </w:rPr>
              <w:t xml:space="preserve">status-feed</w:t>
            </w:r>
          </w:p>
        </w:tc>
        <w:tc>
          <w:tcPr>
            <w:tcW w:w="2340" w:type="dxa"/>
          </w:tcPr>
          <w:p>
            <w:pPr/>
            <w:r>
              <w:t xml:space="preserve">After every job</w:t>
            </w:r>
          </w:p>
        </w:tc>
        <w:tc>
          <w:tcPr>
            <w:tcW w:w="2340" w:type="dxa"/>
          </w:tcPr>
          <w:p>
            <w:pPr/>
            <w:r>
              <w:t xml:space="preserve">Job Finished events</w:t>
            </w:r>
          </w:p>
        </w:tc>
        <w:tc>
          <w:tcPr>
            <w:tcW w:w="2340" w:type="dxa"/>
          </w:tcPr>
          <w:p>
            <w:pPr/>
            <w:r>
              <w:rPr>
                <w:rStyle w:val="CodeChar"/>
              </w:rPr>
              <w:t xml:space="preserve">serving/status.json</w:t>
            </w:r>
          </w:p>
        </w:tc>
      </w:tr>
      <w:tr>
        <w:tc>
          <w:tcPr>
            <w:tcW w:w="2340" w:type="dxa"/>
          </w:tcPr>
          <w:p>
            <w:pPr/>
            <w:r>
              <w:t xml:space="preserve">H1, D4 (extended)</w:t>
            </w:r>
          </w:p>
        </w:tc>
        <w:tc>
          <w:tcPr>
            <w:tcW w:w="2340" w:type="dxa"/>
          </w:tcPr>
          <w:p>
            <w:pPr/>
            <w:r>
              <w:t xml:space="preserve">Existing schedules</w:t>
            </w:r>
          </w:p>
        </w:tc>
        <w:tc>
          <w:tcPr>
            <w:tcW w:w="2340" w:type="dxa"/>
          </w:tcPr>
          <w:p>
            <w:pPr/>
            <w:r>
              <w:t xml:space="preserve">Alpaca bars</w:t>
            </w:r>
          </w:p>
        </w:tc>
        <w:tc>
          <w:tcPr>
            <w:tcW w:w="2340" w:type="dxa"/>
          </w:tcPr>
          <w:p>
            <w:pPr/>
            <w:r>
              <w:t xml:space="preserve">ETF proxies and the user-ticker union added to the same calls</w:t>
            </w:r>
          </w:p>
        </w:tc>
      </w:tr>
      <w:tr>
        <w:tc>
          <w:tcPr>
            <w:tcW w:w="2340" w:type="dxa"/>
          </w:tcPr>
          <w:p>
            <w:pPr/>
            <w:r>
              <w:t xml:space="preserve">D1, D4 (extended)</w:t>
            </w:r>
          </w:p>
        </w:tc>
        <w:tc>
          <w:tcPr>
            <w:tcW w:w="2340" w:type="dxa"/>
          </w:tcPr>
          <w:p>
            <w:pPr/>
            <w:r>
              <w:t xml:space="preserve">Existing schedules</w:t>
            </w:r>
          </w:p>
        </w:tc>
        <w:tc>
          <w:tcPr>
            <w:tcW w:w="2340" w:type="dxa"/>
          </w:tcPr>
          <w:p>
            <w:pPr/>
            <w:r>
              <w:t xml:space="preserve">Atlanta Fed (DS-88), Kalshi (DS-89), Cleveland Fed (DS-90)</w:t>
            </w:r>
          </w:p>
        </w:tc>
        <w:tc>
          <w:tcPr>
            <w:tcW w:w="2340" w:type="dxa"/>
          </w:tcPr>
          <w:p>
            <w:pPr/>
            <w:r>
              <w:rPr>
                <w:rStyle w:val="CodeChar"/>
              </w:rPr>
              <w:t xml:space="preserve">rate_odds</w:t>
            </w:r>
          </w:p>
        </w:tc>
      </w:tr>
    </w:tbl>
    <w:p>
      <w:pPr/>
      <w:r>
        <w:t xml:space="preserve">Each job has its own role: read and write only its listed lake prefixes, read only its own API keys, publish only </w:t>
      </w:r>
      <w:r>
        <w:rPr>
          <w:rStyle w:val="CodeChar"/>
        </w:rPr>
        <w:t xml:space="preserve">invdash.jobs</w:t>
      </w:r>
      <w:r>
        <w:t xml:space="preserve"> events, and send failures to the dead-letter queue. Kalshi's documented host is now </w:t>
      </w:r>
      <w:r>
        <w:rPr>
          <w:rStyle w:val="CodeChar"/>
        </w:rPr>
        <w:t xml:space="preserve">external-api.kalshi.com</w:t>
      </w:r>
      <w:r>
        <w:t xml:space="preserve">. The Atlanta and Cleveland Fed pages have no documented data API, so those adapters save the raw file first and find columns by header text. A layout change fails loudly and can be re-parsed from </w:t>
      </w:r>
      <w:r>
        <w:rPr>
          <w:rStyle w:val="CodeChar"/>
        </w:rPr>
        <w:t xml:space="preserve">raw/</w:t>
      </w:r>
      <w:r>
        <w:t xml:space="preserve">.</w:t>
      </w:r>
    </w:p>
    <w:p>
      <w:pPr>
        <w:pStyle w:val="Heading3"/>
      </w:pPr>
      <w:r>
        <w:t xml:space="preserve">Refresh status and outbound allowlist</w:t>
      </w:r>
    </w:p>
    <w:p>
      <w:pPr>
        <w:pStyle w:val="ListParagraph"/>
        <w:numPr>
          <w:ilvl w:val="0"/>
          <w:numId w:val="6"/>
        </w:numPr>
      </w:pPr>
      <w:r>
        <w:rPr>
          <w:b/>
        </w:rPr>
        <w:t xml:space="preserve">Status feed</w:t>
      </w:r>
      <w:r>
        <w:t xml:space="preserve"> (</w:t>
      </w:r>
      <w:r>
        <w:rPr>
          <w:rStyle w:val="CodeChar"/>
        </w:rPr>
        <w:t xml:space="preserve">serving/status.json</w:t>
      </w:r>
      <w:r>
        <w:t xml:space="preserve">, behind sign-in): for each job, its </w:t>
      </w:r>
      <w:r>
        <w:rPr>
          <w:rStyle w:val="CodeChar"/>
        </w:rPr>
        <w:t xml:space="preserve">name</w:t>
      </w:r>
      <w:r>
        <w:t xml:space="preserve">, </w:t>
      </w:r>
      <w:r>
        <w:rPr>
          <w:rStyle w:val="CodeChar"/>
        </w:rPr>
        <w:t xml:space="preserve">status</w:t>
      </w:r>
      <w:r>
        <w:t xml:space="preserve"> (ok, partial, failed, never_run), </w:t>
      </w:r>
      <w:r>
        <w:rPr>
          <w:rStyle w:val="CodeChar"/>
        </w:rPr>
        <w:t xml:space="preserve">last_run</w:t>
      </w:r>
      <w:r>
        <w:t xml:space="preserve">, </w:t>
      </w:r>
      <w:r>
        <w:rPr>
          <w:rStyle w:val="CodeChar"/>
        </w:rPr>
        <w:t xml:space="preserve">last_outcome</w:t>
      </w:r>
      <w:r>
        <w:t xml:space="preserve">, </w:t>
      </w:r>
      <w:r>
        <w:rPr>
          <w:rStyle w:val="CodeChar"/>
        </w:rPr>
        <w:t xml:space="preserve">failed_sources</w:t>
      </w:r>
      <w:r>
        <w:t xml:space="preserve"> and </w:t>
      </w:r>
      <w:r>
        <w:rPr>
          <w:rStyle w:val="CodeChar"/>
        </w:rPr>
        <w:t xml:space="preserve">next_run</w:t>
      </w:r>
      <w:r>
        <w:t xml:space="preserve">. </w:t>
      </w:r>
      <w:r>
        <w:rPr>
          <w:rStyle w:val="CodeChar"/>
        </w:rPr>
        <w:t xml:space="preserve">next_run</w:t>
      </w:r>
      <w:r>
        <w:t xml:space="preserve"> skips weekends and NYSE or federal holidays. Updates use S3 conditional writes, so concurrent jobs can't overwrite each other.</w:t>
      </w:r>
    </w:p>
    <w:p>
      <w:pPr>
        <w:pStyle w:val="ListParagraph"/>
        <w:numPr>
          <w:ilvl w:val="0"/>
          <w:numId w:val="6"/>
        </w:numPr>
      </w:pPr>
      <w:r>
        <w:rPr>
          <w:b/>
        </w:rPr>
        <w:t xml:space="preserve">Allowlist:</w:t>
      </w:r>
      <w:r>
        <w:t xml:space="preserve"> the jobs' HTTP client (</w:t>
      </w:r>
      <w:r>
        <w:rPr>
          <w:rStyle w:val="CodeChar"/>
        </w:rPr>
        <w:t xml:space="preserve">app/http_client.py</w:t>
      </w:r>
      <w:r>
        <w:t xml:space="preserve">) refuses any host not in the source catalog. It now includes Kalshi, the Atlanta and Cleveland Feds, FINRA and the Alpaca options host. This is the software control listed under the accepted VPC risk.</w:t>
      </w:r>
    </w:p>
    <w:p>
      <w:pPr>
        <w:pStyle w:val="Heading3"/>
      </w:pPr>
      <w:r>
        <w:t xml:space="preserve">Added cost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Basis</w:t>
            </w:r>
          </w:p>
        </w:tc>
        <w:tc>
          <w:tcPr>
            <w:tcW w:w="3120" w:type="dxa"/>
            <w:shd w:val="clear" w:color="auto" w:fill="F2F2F2"/>
          </w:tcPr>
          <w:p>
            <w:pPr/>
            <w:r>
              <w:t xml:space="preserve">Est. $/month</w:t>
            </w:r>
          </w:p>
        </w:tc>
      </w:tr>
      <w:tr>
        <w:tc>
          <w:tcPr>
            <w:tcW w:w="3120" w:type="dxa"/>
          </w:tcPr>
          <w:p>
            <w:pPr/>
            <w:r>
              <w:t xml:space="preserve">Site API (HTTP API)</w:t>
            </w:r>
          </w:p>
        </w:tc>
        <w:tc>
          <w:tcPr>
            <w:tcW w:w="3120" w:type="dxa"/>
          </w:tcPr>
          <w:p>
            <w:pPr/>
            <w:r>
              <w:t xml:space="preserve">~15,000 requests at $1.00 per million (</w:t>
            </w:r>
            <w:hyperlink r:id="rId4" w:history="1">
              <w:r>
                <w:rPr>
                  <w:rStyle w:val="Hyperlink"/>
                </w:rPr>
                <w:t xml:space="preserve">pricing</w:t>
              </w:r>
            </w:hyperlink>
            <w:r>
              <w:t xml:space="preserve">)</w:t>
            </w:r>
          </w:p>
        </w:tc>
        <w:tc>
          <w:tcPr>
            <w:tcW w:w="3120" w:type="dxa"/>
          </w:tcPr>
          <w:p>
            <w:pPr/>
            <w:r>
              <w:t xml:space="preserve">0.02</w:t>
            </w:r>
          </w:p>
        </w:tc>
      </w:tr>
      <w:tr>
        <w:tc>
          <w:tcPr>
            <w:tcW w:w="3120" w:type="dxa"/>
          </w:tcPr>
          <w:p>
            <w:pPr/>
            <w:r>
              <w:t xml:space="preserve">DynamoDB prefs table</w:t>
            </w:r>
          </w:p>
        </w:tc>
        <w:tc>
          <w:tcPr>
            <w:tcW w:w="3120" w:type="dxa"/>
          </w:tcPr>
          <w:p>
            <w:pPr/>
            <w:r>
              <w:t xml:space="preserve">On-demand $0.625/M writes, $0.125/M reads; storage under the 25 GB free tier; PITR $0.20/GB-month on &lt;1 MB (</w:t>
            </w:r>
            <w:hyperlink r:id="rId5" w:history="1">
              <w:r>
                <w:rPr>
                  <w:rStyle w:val="Hyperlink"/>
                </w:rPr>
                <w:t xml:space="preserve">pricing</w:t>
              </w:r>
            </w:hyperlink>
            <w:r>
              <w:t xml:space="preserve">)</w:t>
            </w:r>
          </w:p>
        </w:tc>
        <w:tc>
          <w:tcPr>
            <w:tcW w:w="3120" w:type="dxa"/>
          </w:tcPr>
          <w:p>
            <w:pPr/>
            <w:r>
              <w:t xml:space="preserve">0.01</w:t>
            </w:r>
          </w:p>
        </w:tc>
      </w:tr>
      <w:tr>
        <w:tc>
          <w:tcPr>
            <w:tcW w:w="3120" w:type="dxa"/>
          </w:tcPr>
          <w:p>
            <w:pPr/>
            <w:r>
              <w:t xml:space="preserve">New job runs and events</w:t>
            </w:r>
          </w:p>
        </w:tc>
        <w:tc>
          <w:tcPr>
            <w:tcW w:w="3120" w:type="dxa"/>
          </w:tcPr>
          <w:p>
            <w:pPr/>
            <w:r>
              <w:t xml:space="preserve">~1,500 Lambda runs (free tier); ~1,500 custom events at $1/M</w:t>
            </w:r>
          </w:p>
        </w:tc>
        <w:tc>
          <w:tcPr>
            <w:tcW w:w="3120" w:type="dxa"/>
          </w:tcPr>
          <w:p>
            <w:pPr/>
            <w:r>
              <w:t xml:space="preserve">0.01</w:t>
            </w:r>
          </w:p>
        </w:tc>
      </w:tr>
      <w:tr>
        <w:tc>
          <w:tcPr>
            <w:tcW w:w="3120" w:type="dxa"/>
          </w:tcPr>
          <w:p>
            <w:pPr/>
            <w:r>
              <w:t xml:space="preserve">Inspector on the API function</w:t>
            </w:r>
          </w:p>
        </w:tc>
        <w:tc>
          <w:tcPr>
            <w:tcW w:w="3120" w:type="dxa"/>
          </w:tcPr>
          <w:p>
            <w:pPr/>
            <w:r>
              <w:t xml:space="preserve">$0.30 per zip-packaged function</w:t>
            </w:r>
          </w:p>
        </w:tc>
        <w:tc>
          <w:tcPr>
            <w:tcW w:w="3120" w:type="dxa"/>
          </w:tcPr>
          <w:p>
            <w:pPr/>
            <w:r>
              <w:t xml:space="preserve">0.30</w:t>
            </w:r>
          </w:p>
        </w:tc>
      </w:tr>
      <w:tr>
        <w:tc>
          <w:tcPr>
            <w:tcW w:w="3120" w:type="dxa"/>
          </w:tcPr>
          <w:p>
            <w:pPr/>
            <w:r>
              <w:t xml:space="preserve">Security Hub and Config on ~40 new resources</w:t>
            </w:r>
          </w:p>
        </w:tc>
        <w:tc>
          <w:tcPr>
            <w:tcW w:w="3120" w:type="dxa"/>
          </w:tcPr>
          <w:p>
            <w:pPr/>
            <w:r>
              <w:t xml:space="preserve">More checks and configuration items</w:t>
            </w:r>
          </w:p>
        </w:tc>
        <w:tc>
          <w:tcPr>
            <w:tcW w:w="3120" w:type="dxa"/>
          </w:tcPr>
          <w:p>
            <w:pPr/>
            <w:r>
              <w:t xml:space="preserve">0.50–1.20</w:t>
            </w:r>
          </w:p>
        </w:tc>
      </w:tr>
      <w:tr>
        <w:tc>
          <w:tcPr>
            <w:tcW w:w="3120" w:type="dxa"/>
          </w:tcPr>
          <w:p>
            <w:pPr/>
            <w:r>
              <w:t xml:space="preserve">One more alarm, KMS requests, larger image</w:t>
            </w:r>
          </w:p>
        </w:tc>
        <w:tc>
          <w:tcPr>
            <w:tcW w:w="3120" w:type="dxa"/>
          </w:tcPr>
          <w:p>
            <w:pPr/>
            <w:r>
              <w:t xml:space="preserve">API 5xx alarm $0.10; KMS and ECR</w:t>
            </w:r>
          </w:p>
        </w:tc>
        <w:tc>
          <w:tcPr>
            <w:tcW w:w="3120" w:type="dxa"/>
          </w:tcPr>
          <w:p>
            <w:pPr/>
            <w:r>
              <w:t xml:space="preserve">0.15–0.40</w:t>
            </w:r>
          </w:p>
        </w:tc>
      </w:tr>
      <w:tr>
        <w:tc>
          <w:tcPr>
            <w:tcW w:w="3120" w:type="dxa"/>
          </w:tcPr>
          <w:p>
            <w:pPr/>
            <w:r>
              <w:rPr>
                <w:b/>
              </w:rPr>
              <w:t xml:space="preserve">Total</w:t>
            </w:r>
          </w:p>
        </w:tc>
        <w:tc>
          <w:tcPr>
            <w:tcW w:w="3120" w:type="dxa"/>
          </w:tcPr>
          <w:p>
            <w:pPr/>
          </w:p>
        </w:tc>
        <w:tc>
          <w:tcPr>
            <w:tcW w:w="3120" w:type="dxa"/>
          </w:tcPr>
          <w:p>
            <w:pPr/>
            <w:r>
              <w:rPr>
                <w:b/>
              </w:rPr>
              <w:t xml:space="preserve">~1.20 (0.70–2.00)</w:t>
            </w:r>
          </w:p>
        </w:tc>
      </w:tr>
    </w:tbl>
    <w:p>
      <w:pPr>
        <w:pStyle w:val="Heading3"/>
      </w:pPr>
      <w:r>
        <w:t xml:space="preserve">Names that differ from the UI brief</w:t>
      </w:r>
    </w:p>
    <w:p>
      <w:pPr>
        <w:pStyle w:val="ListParagraph"/>
        <w:numPr>
          <w:ilvl w:val="0"/>
          <w:numId w:val="7"/>
        </w:numPr>
      </w:pPr>
      <w:r>
        <w:t xml:space="preserve">The table key is </w:t>
      </w:r>
      <w:r>
        <w:rPr>
          <w:rStyle w:val="CodeChar"/>
        </w:rPr>
        <w:t xml:space="preserve">user_sub</w:t>
      </w:r>
      <w:r>
        <w:t xml:space="preserve">; display settings live under </w:t>
      </w:r>
      <w:r>
        <w:rPr>
          <w:rStyle w:val="CodeChar"/>
        </w:rPr>
        <w:t xml:space="preserve">display.time_zone</w:t>
      </w:r>
      <w:r>
        <w:t xml:space="preserve"> and </w:t>
      </w:r>
      <w:r>
        <w:rPr>
          <w:rStyle w:val="CodeChar"/>
        </w:rPr>
        <w:t xml:space="preserve">display.updown_palette</w:t>
      </w:r>
      <w:r>
        <w:t xml:space="preserve"> (</w:t>
      </w:r>
      <w:r>
        <w:rPr>
          <w:rStyle w:val="CodeChar"/>
        </w:rPr>
        <w:t xml:space="preserve">green-red</w:t>
      </w:r>
      <w:r>
        <w:t xml:space="preserve">, </w:t>
      </w:r>
      <w:r>
        <w:rPr>
          <w:rStyle w:val="CodeChar"/>
        </w:rPr>
        <w:t xml:space="preserve">red-green</w:t>
      </w:r>
      <w:r>
        <w:t xml:space="preserve">, </w:t>
      </w:r>
      <w:r>
        <w:rPr>
          <w:rStyle w:val="CodeChar"/>
        </w:rPr>
        <w:t xml:space="preserve">blue-orange</w:t>
      </w:r>
      <w:r>
        <w:t xml:space="preserve">). Order is the order of </w:t>
      </w:r>
      <w:r>
        <w:rPr>
          <w:rStyle w:val="CodeChar"/>
        </w:rPr>
        <w:t xml:space="preserve">tickers</w:t>
      </w:r>
      <w:r>
        <w:t xml:space="preserve"> and </w:t>
      </w:r>
      <w:r>
        <w:rPr>
          <w:rStyle w:val="CodeChar"/>
        </w:rPr>
        <w:t xml:space="preserve">pinned</w:t>
      </w:r>
      <w:r>
        <w:t xml:space="preserve">, not a separate field.</w:t>
      </w:r>
    </w:p>
    <w:p>
      <w:pPr>
        <w:pStyle w:val="ListParagraph"/>
        <w:numPr>
          <w:ilvl w:val="0"/>
          <w:numId w:val="7"/>
        </w:numPr>
      </w:pPr>
      <w:r>
        <w:t xml:space="preserve">Fundamentals use </w:t>
      </w:r>
      <w:r>
        <w:rPr>
          <w:rStyle w:val="CodeChar"/>
        </w:rPr>
        <w:t xml:space="preserve">fiscal_quarter</w:t>
      </w:r>
      <w:r>
        <w:t xml:space="preserve"> as in the brief, with metric IDs </w:t>
      </w:r>
      <w:r>
        <w:rPr>
          <w:rStyle w:val="CodeChar"/>
        </w:rPr>
        <w:t xml:space="preserve">gross_margin_gaap</w:t>
      </w:r>
      <w:r>
        <w:t xml:space="preserve">, </w:t>
      </w:r>
      <w:r>
        <w:rPr>
          <w:rStyle w:val="CodeChar"/>
        </w:rPr>
        <w:t xml:space="preserve">deliveries</w:t>
      </w:r>
      <w:r>
        <w:t xml:space="preserve"> and </w:t>
      </w:r>
      <w:r>
        <w:rPr>
          <w:rStyle w:val="CodeChar"/>
        </w:rPr>
        <w:t xml:space="preserve">fsd_subscribers</w:t>
      </w:r>
      <w:r>
        <w:t xml:space="preserve">, plus </w:t>
      </w:r>
      <w:r>
        <w:rPr>
          <w:rStyle w:val="CodeChar"/>
        </w:rPr>
        <w:t xml:space="preserve">revenue_gaap</w:t>
      </w:r>
      <w:r>
        <w:t xml:space="preserve"> and </w:t>
      </w:r>
      <w:r>
        <w:rPr>
          <w:rStyle w:val="CodeChar"/>
        </w:rPr>
        <w:t xml:space="preserve">gross_profit_gaap</w:t>
      </w:r>
      <w:r>
        <w:t xml:space="preserve"> as inputs.</w:t>
      </w:r>
    </w:p>
    <w:p>
      <w:pPr>
        <w:pStyle w:val="ListParagraph"/>
        <w:numPr>
          <w:ilvl w:val="0"/>
          <w:numId w:val="7"/>
        </w:numPr>
      </w:pPr>
      <w:r>
        <w:rPr>
          <w:rStyle w:val="CodeChar"/>
        </w:rPr>
        <w:t xml:space="preserve">net_pressure</w:t>
      </w:r>
      <w:r>
        <w:t xml:space="preserve"> is stored on every row of a ticker and date, not in a separate table.</w:t>
      </w:r>
    </w:p>
    <w:p>
      <w:pPr>
        <w:pStyle w:val="ListParagraph"/>
        <w:numPr>
          <w:ilvl w:val="0"/>
          <w:numId w:val="7"/>
        </w:numPr>
      </w:pPr>
      <w:r>
        <w:t xml:space="preserve">The data-refresh feed is </w:t>
      </w:r>
      <w:r>
        <w:rPr>
          <w:rStyle w:val="CodeChar"/>
        </w:rPr>
        <w:t xml:space="preserve">serving/status.json</w:t>
      </w:r>
      <w:r>
        <w:t xml:space="preserve"> (separate from the canary's public </w:t>
      </w:r>
      <w:r>
        <w:rPr>
          <w:rStyle w:val="CodeChar"/>
        </w:rPr>
        <w:t xml:space="preserve">health.json</w:t>
      </w:r>
      <w:r>
        <w:t xml:space="preserve">).</w:t>
      </w:r>
    </w:p>
    <w:p>
      <w:pPr>
        <w:pStyle w:val="Heading2"/>
      </w:pPr>
      <w:r>
        <w:t xml:space="preserve">Compute and storage resources</w:t>
      </w:r>
    </w:p>
    <w:p>
      <w:pPr/>
      <w:r>
        <w:t xml:space="preserve">Everything runs in one AWS region (us-east-1, closest to the ET-based release times) with no always-on compute.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Resource</w:t>
            </w:r>
          </w:p>
        </w:tc>
        <w:tc>
          <w:tcPr>
            <w:tcW w:w="2340" w:type="dxa"/>
            <w:shd w:val="clear" w:color="auto" w:fill="F2F2F2"/>
          </w:tcPr>
          <w:p>
            <w:pPr/>
            <w:r>
              <w:t xml:space="preserve">Service</w:t>
            </w:r>
          </w:p>
        </w:tc>
        <w:tc>
          <w:tcPr>
            <w:tcW w:w="2340" w:type="dxa"/>
            <w:shd w:val="clear" w:color="auto" w:fill="F2F2F2"/>
          </w:tcPr>
          <w:p>
            <w:pPr/>
            <w:r>
              <w:t xml:space="preserve">Size and settings</w:t>
            </w:r>
          </w:p>
        </w:tc>
        <w:tc>
          <w:tcPr>
            <w:tcW w:w="2340" w:type="dxa"/>
            <w:shd w:val="clear" w:color="auto" w:fill="F2F2F2"/>
          </w:tcPr>
          <w:p>
            <w:pPr/>
            <w:r>
              <w:t xml:space="preserve">Expected load</w:t>
            </w:r>
          </w:p>
        </w:tc>
      </w:tr>
      <w:tr>
        <w:tc>
          <w:tcPr>
            <w:tcW w:w="2340" w:type="dxa"/>
          </w:tcPr>
          <w:p>
            <w:pPr/>
            <w:r>
              <w:t xml:space="preserve">Scheduler</w:t>
            </w:r>
          </w:p>
        </w:tc>
        <w:tc>
          <w:tcPr>
            <w:tcW w:w="2340" w:type="dxa"/>
          </w:tcPr>
          <w:p>
            <w:pPr/>
            <w:r>
              <w:t xml:space="preserve">EventBridge Scheduler</w:t>
            </w:r>
          </w:p>
        </w:tc>
        <w:tc>
          <w:tcPr>
            <w:tcW w:w="2340" w:type="dxa"/>
          </w:tcPr>
          <w:p>
            <w:pPr/>
            <w:r>
              <w:t xml:space="preserve">~15 recurring schedules (America/New_York time zone) + one-off release-day schedules</w:t>
            </w:r>
          </w:p>
        </w:tc>
        <w:tc>
          <w:tcPr>
            <w:tcW w:w="2340" w:type="dxa"/>
          </w:tcPr>
          <w:p>
            <w:pPr/>
            <w:r>
              <w:t xml:space="preserve">~1,200 runs a month</w:t>
            </w:r>
          </w:p>
        </w:tc>
      </w:tr>
      <w:tr>
        <w:tc>
          <w:tcPr>
            <w:tcW w:w="2340" w:type="dxa"/>
          </w:tcPr>
          <w:p>
            <w:pPr/>
            <w:r>
              <w:t xml:space="preserve">Collector jobs</w:t>
            </w:r>
          </w:p>
        </w:tc>
        <w:tc>
          <w:tcPr>
            <w:tcW w:w="2340" w:type="dxa"/>
          </w:tcPr>
          <w:p>
            <w:pPr/>
            <w:r>
              <w:t xml:space="preserve">Lambda, Python 3.12, arm64, container image</w:t>
            </w:r>
          </w:p>
        </w:tc>
        <w:tc>
          <w:tcPr>
            <w:tcW w:w="2340" w:type="dxa"/>
          </w:tcPr>
          <w:p>
            <w:pPr/>
            <w:r>
              <w:t xml:space="preserve">1 GB memory, 5 min timeout; 2 GB for PDF/XLSX parsing (DS-51, DS-53, DS-88)</w:t>
            </w:r>
          </w:p>
        </w:tc>
        <w:tc>
          <w:tcPr>
            <w:tcW w:w="2340" w:type="dxa"/>
          </w:tcPr>
          <w:p>
            <w:pPr/>
            <w:r>
              <w:t xml:space="preserve">~24,000 GB-seconds a month (about 6% of the free tier)</w:t>
            </w:r>
          </w:p>
        </w:tc>
      </w:tr>
      <w:tr>
        <w:tc>
          <w:tcPr>
            <w:tcW w:w="2340" w:type="dxa"/>
          </w:tcPr>
          <w:p>
            <w:pPr/>
            <w:r>
              <w:t xml:space="preserve">Build jobs</w:t>
            </w:r>
          </w:p>
        </w:tc>
        <w:tc>
          <w:tcPr>
            <w:tcW w:w="2340" w:type="dxa"/>
          </w:tcPr>
          <w:p>
            <w:pPr/>
            <w:r>
              <w:t xml:space="preserve">Lambda (same image)</w:t>
            </w:r>
          </w:p>
        </w:tc>
        <w:tc>
          <w:tcPr>
            <w:tcW w:w="2340" w:type="dxa"/>
          </w:tcPr>
          <w:p>
            <w:pPr/>
            <w:r>
              <w:t xml:space="preserve">2 GB, 10 min: serving JSON after each run, impact analytics after D4, nightly compaction</w:t>
            </w:r>
          </w:p>
        </w:tc>
        <w:tc>
          <w:tcPr>
            <w:tcW w:w="2340" w:type="dxa"/>
          </w:tcPr>
          <w:p>
            <w:pPr/>
            <w:r>
              <w:t xml:space="preserve">~60 runs a month</w:t>
            </w:r>
          </w:p>
        </w:tc>
      </w:tr>
      <w:tr>
        <w:tc>
          <w:tcPr>
            <w:tcW w:w="2340" w:type="dxa"/>
          </w:tcPr>
          <w:p>
            <w:pPr/>
            <w:r>
              <w:t xml:space="preserve">Retry and dead letters</w:t>
            </w:r>
          </w:p>
        </w:tc>
        <w:tc>
          <w:tcPr>
            <w:tcW w:w="2340" w:type="dxa"/>
          </w:tcPr>
          <w:p>
            <w:pPr/>
            <w:r>
              <w:t xml:space="preserve">SQS dead-letter queue + Lambda retries (2)</w:t>
            </w:r>
          </w:p>
        </w:tc>
        <w:tc>
          <w:tcPr>
            <w:tcW w:w="2340" w:type="dxa"/>
          </w:tcPr>
          <w:p>
            <w:pPr/>
            <w:r>
              <w:t xml:space="preserve">Failed runs kept 14 days</w:t>
            </w:r>
          </w:p>
        </w:tc>
        <w:tc>
          <w:tcPr>
            <w:tcW w:w="2340" w:type="dxa"/>
          </w:tcPr>
          <w:p>
            <w:pPr/>
            <w:r>
              <w:t xml:space="preserve">A handful a month</w:t>
            </w:r>
          </w:p>
        </w:tc>
      </w:tr>
      <w:tr>
        <w:tc>
          <w:tcPr>
            <w:tcW w:w="2340" w:type="dxa"/>
          </w:tcPr>
          <w:p>
            <w:pPr/>
            <w:r>
              <w:t xml:space="preserve">Data lake</w:t>
            </w:r>
          </w:p>
        </w:tc>
        <w:tc>
          <w:tcPr>
            <w:tcW w:w="2340" w:type="dxa"/>
          </w:tcPr>
          <w:p>
            <w:pPr/>
            <w:r>
              <w:t xml:space="preserve">S3 Standard, versioning on</w:t>
            </w:r>
          </w:p>
        </w:tc>
        <w:tc>
          <w:tcPr>
            <w:tcW w:w="2340" w:type="dxa"/>
          </w:tcPr>
          <w:p>
            <w:pPr/>
            <w:r>
              <w:t xml:space="preserve">raw/, curated/, serving/ prefixes; raw moves to Glacier after 1 year</w:t>
            </w:r>
          </w:p>
        </w:tc>
        <w:tc>
          <w:tcPr>
            <w:tcW w:w="2340" w:type="dxa"/>
          </w:tcPr>
          <w:p>
            <w:pPr/>
            <w:r>
              <w:t xml:space="preserve">Under 2 GB after year 1</w:t>
            </w:r>
          </w:p>
        </w:tc>
      </w:tr>
      <w:tr>
        <w:tc>
          <w:tcPr>
            <w:tcW w:w="2340" w:type="dxa"/>
          </w:tcPr>
          <w:p>
            <w:pPr/>
            <w:r>
              <w:t xml:space="preserve">Dashboard hosting</w:t>
            </w:r>
          </w:p>
        </w:tc>
        <w:tc>
          <w:tcPr>
            <w:tcW w:w="2340" w:type="dxa"/>
          </w:tcPr>
          <w:p>
            <w:pPr/>
            <w:r>
              <w:t xml:space="preserve">S3 + CloudFront (flat-rate Free plan)</w:t>
            </w:r>
          </w:p>
        </w:tc>
        <w:tc>
          <w:tcPr>
            <w:tcW w:w="2340" w:type="dxa"/>
          </w:tcPr>
          <w:p>
            <w:pPr/>
            <w:r>
              <w:t xml:space="preserve">Static site, gzip/brotli, 60 s cache on manifest</w:t>
            </w:r>
          </w:p>
        </w:tc>
        <w:tc>
          <w:tcPr>
            <w:tcW w:w="2340" w:type="dxa"/>
          </w:tcPr>
          <w:p>
            <w:pPr/>
            <w:r>
              <w:t xml:space="preserve">Far under 1M requests and 100 GB a month</w:t>
            </w:r>
          </w:p>
        </w:tc>
      </w:tr>
      <w:tr>
        <w:tc>
          <w:tcPr>
            <w:tcW w:w="2340" w:type="dxa"/>
          </w:tcPr>
          <w:p>
            <w:pPr/>
            <w:r>
              <w:t xml:space="preserve">Login</w:t>
            </w:r>
          </w:p>
        </w:tc>
        <w:tc>
          <w:tcPr>
            <w:tcW w:w="2340" w:type="dxa"/>
          </w:tcPr>
          <w:p>
            <w:pPr/>
            <w:r>
              <w:t xml:space="preserve">Cognito user pool</w:t>
            </w:r>
          </w:p>
        </w:tc>
        <w:tc>
          <w:tcPr>
            <w:tcW w:w="2340" w:type="dxa"/>
          </w:tcPr>
          <w:p>
            <w:pPr/>
            <w:r>
              <w:t xml:space="preserve">Hosted sign-in in front of CloudFront</w:t>
            </w:r>
          </w:p>
        </w:tc>
        <w:tc>
          <w:tcPr>
            <w:tcW w:w="2340" w:type="dxa"/>
          </w:tcPr>
          <w:p>
            <w:pPr/>
            <w:r>
              <w:t xml:space="preserve">1–5 users</w:t>
            </w:r>
          </w:p>
        </w:tc>
      </w:tr>
      <w:tr>
        <w:tc>
          <w:tcPr>
            <w:tcW w:w="2340" w:type="dxa"/>
          </w:tcPr>
          <w:p>
            <w:pPr/>
            <w:r>
              <w:t xml:space="preserve">Secrets</w:t>
            </w:r>
          </w:p>
        </w:tc>
        <w:tc>
          <w:tcPr>
            <w:tcW w:w="2340" w:type="dxa"/>
          </w:tcPr>
          <w:p>
            <w:pPr/>
            <w:r>
              <w:t xml:space="preserve">SSM Parameter Store, SecureString</w:t>
            </w:r>
          </w:p>
        </w:tc>
        <w:tc>
          <w:tcPr>
            <w:tcW w:w="2340" w:type="dxa"/>
          </w:tcPr>
          <w:p>
            <w:pPr/>
            <w:r>
              <w:t xml:space="preserve">12 provider credentials (Alpaca, FRED, Finnhub, BLS, BEA, Census, SAM.gov, FCC, Alpha Vantage, Massive, ACLED); see API key rotation</w:t>
            </w:r>
          </w:p>
        </w:tc>
        <w:tc>
          <w:tcPr>
            <w:tcW w:w="2340" w:type="dxa"/>
          </w:tcPr>
          <w:p>
            <w:pPr/>
            <w:r>
              <w:t xml:space="preserve">Read once per run</w:t>
            </w:r>
          </w:p>
        </w:tc>
      </w:tr>
      <w:tr>
        <w:tc>
          <w:tcPr>
            <w:tcW w:w="2340" w:type="dxa"/>
          </w:tcPr>
          <w:p>
            <w:pPr/>
            <w:r>
              <w:t xml:space="preserve">Container images</w:t>
            </w:r>
          </w:p>
        </w:tc>
        <w:tc>
          <w:tcPr>
            <w:tcW w:w="2340" w:type="dxa"/>
          </w:tcPr>
          <w:p>
            <w:pPr/>
            <w:r>
              <w:t xml:space="preserve">ECR</w:t>
            </w:r>
          </w:p>
        </w:tc>
        <w:tc>
          <w:tcPr>
            <w:tcW w:w="2340" w:type="dxa"/>
          </w:tcPr>
          <w:p>
            <w:pPr/>
            <w:r>
              <w:t xml:space="preserve">One image, keep last 5 tags</w:t>
            </w:r>
          </w:p>
        </w:tc>
        <w:tc>
          <w:tcPr>
            <w:tcW w:w="2340" w:type="dxa"/>
          </w:tcPr>
          <w:p>
            <w:pPr/>
            <w:r>
              <w:t xml:space="preserve">~0.5 GB</w:t>
            </w:r>
          </w:p>
        </w:tc>
      </w:tr>
      <w:tr>
        <w:tc>
          <w:tcPr>
            <w:tcW w:w="2340" w:type="dxa"/>
          </w:tcPr>
          <w:p>
            <w:pPr/>
            <w:r>
              <w:t xml:space="preserve">Logs and alarms</w:t>
            </w:r>
          </w:p>
        </w:tc>
        <w:tc>
          <w:tcPr>
            <w:tcW w:w="2340" w:type="dxa"/>
          </w:tcPr>
          <w:p>
            <w:pPr/>
            <w:r>
              <w:t xml:space="preserve">CloudWatch Logs (400-day retention), 6 metrics, 8 alarms, 1 dashboard, SNS email</w:t>
            </w:r>
          </w:p>
        </w:tc>
        <w:tc>
          <w:tcPr>
            <w:tcW w:w="2340" w:type="dxa"/>
          </w:tcPr>
          <w:p>
            <w:pPr/>
            <w:r>
              <w:t xml:space="preserve">See Operations</w:t>
            </w:r>
          </w:p>
        </w:tc>
        <w:tc>
          <w:tcPr>
            <w:tcW w:w="2340" w:type="dxa"/>
          </w:tcPr>
          <w:p>
            <w:pPr/>
            <w:r>
              <w:t xml:space="preserve">Under 1 GB logs a month</w:t>
            </w:r>
          </w:p>
        </w:tc>
      </w:tr>
    </w:tbl>
    <w:p>
      <w:pPr/>
      <w:r>
        <w:t xml:space="preserve">Why a container image: pyarrow, DuckDB, pandas and exchange_calendars together exceed Lambda's 250 MB zip limit; images allow up to 10 GB.</w:t>
      </w:r>
    </w:p>
    <w:p>
      <w:pPr/>
      <w:r>
        <w:t xml:space="preserve">Why not Fargate or EC2: a t4g.small or Fargate task running 24/7 costs more than the whole serverless stack and sits idle about 98% of the time.</w:t>
      </w:r>
    </w:p>
    <w:p>
      <w:pPr>
        <w:pStyle w:val="Heading2"/>
      </w:pPr>
      <w:r>
        <w:t xml:space="preserve">Cost estimate</w:t>
      </w:r>
    </w:p>
    <w:p>
      <w:pPr/>
      <w:r>
        <w:t xml:space="preserve">The full stack, </w:t>
      </w:r>
      <w:r>
        <w:rPr>
          <w:b/>
        </w:rPr>
        <w:t xml:space="preserve">including monitoring, alerting and health dashboards</w:t>
      </w:r>
      <w:r>
        <w:t xml:space="preserve">, costs about </w:t>
      </w:r>
      <w:r>
        <w:rPr>
          <w:b/>
        </w:rPr>
        <w:t xml:space="preserve">$0.25 a month</w:t>
      </w:r>
      <w:r>
        <w:t xml:space="preserve">, or about $1.60 with a custom domain. Prices are us-east-1 list prices from AWS pricing pages, checked on 3 Oct 2026; usage figures are estimates from the catalog's call counts.</w:t>
      </w:r>
    </w:p>
    <w:p>
      <w:pPr/>
      <w:r>
        <w:t xml:space="preserve">This table is the base stack. With the FedRAMP Moderate controls the total is about $21–35 a month; see "Cost of the Moderate controls".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Price and free allowance</w:t>
            </w:r>
          </w:p>
        </w:tc>
        <w:tc>
          <w:tcPr>
            <w:tcW w:w="2340" w:type="dxa"/>
            <w:shd w:val="clear" w:color="auto" w:fill="F2F2F2"/>
          </w:tcPr>
          <w:p>
            <w:pPr/>
            <w:r>
              <w:t xml:space="preserve">Our monthly use</w:t>
            </w:r>
          </w:p>
        </w:tc>
        <w:tc>
          <w:tcPr>
            <w:tcW w:w="2340" w:type="dxa"/>
            <w:shd w:val="clear" w:color="auto" w:fill="F2F2F2"/>
          </w:tcPr>
          <w:p>
            <w:pPr/>
            <w:r>
              <w:t xml:space="preserve">Est. $/month</w:t>
            </w:r>
          </w:p>
        </w:tc>
      </w:tr>
      <w:tr>
        <w:tc>
          <w:tcPr>
            <w:tcW w:w="2340" w:type="dxa"/>
          </w:tcPr>
          <w:p>
            <w:pPr/>
            <w:r>
              <w:rPr>
                <w:b/>
              </w:rPr>
              <w:t xml:space="preserve">Collection and hosting</w:t>
            </w:r>
          </w:p>
        </w:tc>
        <w:tc>
          <w:tcPr>
            <w:tcW w:w="2340" w:type="dxa"/>
          </w:tcPr>
          <w:p>
            <w:pPr/>
          </w:p>
        </w:tc>
        <w:tc>
          <w:tcPr>
            <w:tcW w:w="2340" w:type="dxa"/>
          </w:tcPr>
          <w:p>
            <w:pPr/>
          </w:p>
        </w:tc>
        <w:tc>
          <w:tcPr>
            <w:tcW w:w="2340" w:type="dxa"/>
          </w:tcPr>
          <w:p>
            <w:pPr/>
          </w:p>
        </w:tc>
      </w:tr>
      <w:tr>
        <w:tc>
          <w:tcPr>
            <w:tcW w:w="2340" w:type="dxa"/>
          </w:tcPr>
          <w:p>
            <w:pPr/>
            <w:r>
              <w:t xml:space="preserve">Lambda (collectors + builds)</w:t>
            </w:r>
          </w:p>
        </w:tc>
        <w:tc>
          <w:tcPr>
            <w:tcW w:w="2340" w:type="dxa"/>
          </w:tcPr>
          <w:p>
            <w:pPr/>
            <w:r>
              <w:t xml:space="preserve">1M requests + 400,000 GB-s free each month (</w:t>
            </w:r>
            <w:hyperlink r:id="rId6" w:history="1">
              <w:r>
                <w:rPr>
                  <w:rStyle w:val="Hyperlink"/>
                </w:rPr>
                <w:t xml:space="preserve">pricing</w:t>
              </w:r>
            </w:hyperlink>
            <w:r>
              <w:t xml:space="preserve">)</w:t>
            </w:r>
          </w:p>
        </w:tc>
        <w:tc>
          <w:tcPr>
            <w:tcW w:w="2340" w:type="dxa"/>
          </w:tcPr>
          <w:p>
            <w:pPr/>
            <w:r>
              <w:t xml:space="preserve">~1,300 requests, ~24,000 GB-s</w:t>
            </w:r>
          </w:p>
        </w:tc>
        <w:tc>
          <w:tcPr>
            <w:tcW w:w="2340" w:type="dxa"/>
          </w:tcPr>
          <w:p>
            <w:pPr/>
            <w:r>
              <w:t xml:space="preserve">0.00</w:t>
            </w:r>
          </w:p>
        </w:tc>
      </w:tr>
      <w:tr>
        <w:tc>
          <w:tcPr>
            <w:tcW w:w="2340" w:type="dxa"/>
          </w:tcPr>
          <w:p>
            <w:pPr/>
            <w:r>
              <w:t xml:space="preserve">EventBridge Scheduler</w:t>
            </w:r>
          </w:p>
        </w:tc>
        <w:tc>
          <w:tcPr>
            <w:tcW w:w="2340" w:type="dxa"/>
          </w:tcPr>
          <w:p>
            <w:pPr/>
            <w:r>
              <w:t xml:space="preserve">14M invocations free (</w:t>
            </w:r>
            <w:hyperlink r:id="rId7" w:history="1">
              <w:r>
                <w:rPr>
                  <w:rStyle w:val="Hyperlink"/>
                </w:rPr>
                <w:t xml:space="preserve">pricing</w:t>
              </w:r>
            </w:hyperlink>
            <w:r>
              <w:t xml:space="preserve">)</w:t>
            </w:r>
          </w:p>
        </w:tc>
        <w:tc>
          <w:tcPr>
            <w:tcW w:w="2340" w:type="dxa"/>
          </w:tcPr>
          <w:p>
            <w:pPr/>
            <w:r>
              <w:t xml:space="preserve">~1,300</w:t>
            </w:r>
          </w:p>
        </w:tc>
        <w:tc>
          <w:tcPr>
            <w:tcW w:w="2340" w:type="dxa"/>
          </w:tcPr>
          <w:p>
            <w:pPr/>
            <w:r>
              <w:t xml:space="preserve">0.00</w:t>
            </w:r>
          </w:p>
        </w:tc>
      </w:tr>
      <w:tr>
        <w:tc>
          <w:tcPr>
            <w:tcW w:w="2340" w:type="dxa"/>
          </w:tcPr>
          <w:p>
            <w:pPr/>
            <w:r>
              <w:t xml:space="preserve">S3 storage</w:t>
            </w:r>
          </w:p>
        </w:tc>
        <w:tc>
          <w:tcPr>
            <w:tcW w:w="2340" w:type="dxa"/>
          </w:tcPr>
          <w:p>
            <w:pPr/>
            <w:r>
              <w:t xml:space="preserve">$0.023/GB-month (</w:t>
            </w:r>
            <w:hyperlink r:id="rId8" w:history="1">
              <w:r>
                <w:rPr>
                  <w:rStyle w:val="Hyperlink"/>
                </w:rPr>
                <w:t xml:space="preserve">pricing</w:t>
              </w:r>
            </w:hyperlink>
            <w:r>
              <w:t xml:space="preserve">)</w:t>
            </w:r>
          </w:p>
        </w:tc>
        <w:tc>
          <w:tcPr>
            <w:tcW w:w="2340" w:type="dxa"/>
          </w:tcPr>
          <w:p>
            <w:pPr/>
            <w:r>
              <w:t xml:space="preserve">&lt;2 GB in year 1, ~6 GB by year 3</w:t>
            </w:r>
          </w:p>
        </w:tc>
        <w:tc>
          <w:tcPr>
            <w:tcW w:w="2340" w:type="dxa"/>
          </w:tcPr>
          <w:p>
            <w:pPr/>
            <w:r>
              <w:t xml:space="preserve">0.05 (0.14 in year 3)</w:t>
            </w:r>
          </w:p>
        </w:tc>
      </w:tr>
      <w:tr>
        <w:tc>
          <w:tcPr>
            <w:tcW w:w="2340" w:type="dxa"/>
          </w:tcPr>
          <w:p>
            <w:pPr/>
            <w:r>
              <w:t xml:space="preserve">S3 requests</w:t>
            </w:r>
          </w:p>
        </w:tc>
        <w:tc>
          <w:tcPr>
            <w:tcW w:w="2340" w:type="dxa"/>
          </w:tcPr>
          <w:p>
            <w:pPr/>
            <w:r>
              <w:t xml:space="preserve">$0.005 per 1,000 PUTs, $0.0004 per 1,000 GETs</w:t>
            </w:r>
          </w:p>
        </w:tc>
        <w:tc>
          <w:tcPr>
            <w:tcW w:w="2340" w:type="dxa"/>
          </w:tcPr>
          <w:p>
            <w:pPr/>
            <w:r>
              <w:t xml:space="preserve">~15,000 PUTs, ~50,000 GETs</w:t>
            </w:r>
          </w:p>
        </w:tc>
        <w:tc>
          <w:tcPr>
            <w:tcW w:w="2340" w:type="dxa"/>
          </w:tcPr>
          <w:p>
            <w:pPr/>
            <w:r>
              <w:t xml:space="preserve">0.10</w:t>
            </w:r>
          </w:p>
        </w:tc>
      </w:tr>
      <w:tr>
        <w:tc>
          <w:tcPr>
            <w:tcW w:w="2340" w:type="dxa"/>
          </w:tcPr>
          <w:p>
            <w:pPr/>
            <w:r>
              <w:t xml:space="preserve">CloudFront</w:t>
            </w:r>
          </w:p>
        </w:tc>
        <w:tc>
          <w:tcPr>
            <w:tcW w:w="2340" w:type="dxa"/>
          </w:tcPr>
          <w:p>
            <w:pPr/>
            <w:r>
              <w:t xml:space="preserve">Flat-rate Free plan, $0: 1M requests, 100 GB, WAF, DNS (</w:t>
            </w:r>
            <w:hyperlink r:id="rId9" w:history="1">
              <w:r>
                <w:rPr>
                  <w:rStyle w:val="Hyperlink"/>
                </w:rPr>
                <w:t xml:space="preserve">pricing</w:t>
              </w:r>
            </w:hyperlink>
            <w:r>
              <w:t xml:space="preserve">)</w:t>
            </w:r>
          </w:p>
        </w:tc>
        <w:tc>
          <w:tcPr>
            <w:tcW w:w="2340" w:type="dxa"/>
          </w:tcPr>
          <w:p>
            <w:pPr/>
            <w:r>
              <w:t xml:space="preserve">&lt;20,000 requests</w:t>
            </w:r>
          </w:p>
        </w:tc>
        <w:tc>
          <w:tcPr>
            <w:tcW w:w="2340" w:type="dxa"/>
          </w:tcPr>
          <w:p>
            <w:pPr/>
            <w:r>
              <w:t xml:space="preserve">0.00</w:t>
            </w:r>
          </w:p>
        </w:tc>
      </w:tr>
      <w:tr>
        <w:tc>
          <w:tcPr>
            <w:tcW w:w="2340" w:type="dxa"/>
          </w:tcPr>
          <w:p>
            <w:pPr/>
            <w:r>
              <w:t xml:space="preserve">Sign-in check at the edge (Lambda@Edge)</w:t>
            </w:r>
          </w:p>
        </w:tc>
        <w:tc>
          <w:tcPr>
            <w:tcW w:w="2340" w:type="dxa"/>
          </w:tcPr>
          <w:p>
            <w:pPr/>
            <w:r>
              <w:t xml:space="preserve">$0.60 per 1M requests, </w:t>
            </w:r>
            <w:r>
              <w:rPr>
                <w:b/>
              </w:rPr>
              <w:t xml:space="preserve">no free tier</w:t>
            </w:r>
            <w:r>
              <w:t xml:space="preserve"> (</w:t>
            </w:r>
            <w:hyperlink r:id="rId6" w:history="1">
              <w:r>
                <w:rPr>
                  <w:rStyle w:val="Hyperlink"/>
                </w:rPr>
                <w:t xml:space="preserve">pricing</w:t>
              </w:r>
            </w:hyperlink>
            <w:r>
              <w:t xml:space="preserve">)</w:t>
            </w:r>
          </w:p>
        </w:tc>
        <w:tc>
          <w:tcPr>
            <w:tcW w:w="2340" w:type="dxa"/>
          </w:tcPr>
          <w:p>
            <w:pPr/>
            <w:r>
              <w:t xml:space="preserve">~15,000 requests</w:t>
            </w:r>
          </w:p>
        </w:tc>
        <w:tc>
          <w:tcPr>
            <w:tcW w:w="2340" w:type="dxa"/>
          </w:tcPr>
          <w:p>
            <w:pPr/>
            <w:r>
              <w:t xml:space="preserve">0.01</w:t>
            </w:r>
          </w:p>
        </w:tc>
      </w:tr>
      <w:tr>
        <w:tc>
          <w:tcPr>
            <w:tcW w:w="2340" w:type="dxa"/>
          </w:tcPr>
          <w:p>
            <w:pPr/>
            <w:r>
              <w:t xml:space="preserve">Cognito sign-in</w:t>
            </w:r>
          </w:p>
        </w:tc>
        <w:tc>
          <w:tcPr>
            <w:tcW w:w="2340" w:type="dxa"/>
          </w:tcPr>
          <w:p>
            <w:pPr/>
            <w:r>
              <w:t xml:space="preserve">10,000 monthly users free (</w:t>
            </w:r>
            <w:hyperlink r:id="rId10" w:history="1">
              <w:r>
                <w:rPr>
                  <w:rStyle w:val="Hyperlink"/>
                </w:rPr>
                <w:t xml:space="preserve">pricing</w:t>
              </w:r>
            </w:hyperlink>
            <w:r>
              <w:t xml:space="preserve">)</w:t>
            </w:r>
          </w:p>
        </w:tc>
        <w:tc>
          <w:tcPr>
            <w:tcW w:w="2340" w:type="dxa"/>
          </w:tcPr>
          <w:p>
            <w:pPr/>
            <w:r>
              <w:t xml:space="preserve">1–5 users</w:t>
            </w:r>
          </w:p>
        </w:tc>
        <w:tc>
          <w:tcPr>
            <w:tcW w:w="2340" w:type="dxa"/>
          </w:tcPr>
          <w:p>
            <w:pPr/>
            <w:r>
              <w:t xml:space="preserve">0.00</w:t>
            </w:r>
          </w:p>
        </w:tc>
      </w:tr>
      <w:tr>
        <w:tc>
          <w:tcPr>
            <w:tcW w:w="2340" w:type="dxa"/>
          </w:tcPr>
          <w:p>
            <w:pPr/>
            <w:r>
              <w:t xml:space="preserve">SSM Parameter Store (API keys)</w:t>
            </w:r>
          </w:p>
        </w:tc>
        <w:tc>
          <w:tcPr>
            <w:tcW w:w="2340" w:type="dxa"/>
          </w:tcPr>
          <w:p>
            <w:pPr/>
            <w:r>
              <w:t xml:space="preserve">Standard parameters free (</w:t>
            </w:r>
            <w:hyperlink r:id="rId11" w:history="1">
              <w:r>
                <w:rPr>
                  <w:rStyle w:val="Hyperlink"/>
                </w:rPr>
                <w:t xml:space="preserve">pricing</w:t>
              </w:r>
            </w:hyperlink>
            <w:r>
              <w:t xml:space="preserve">)</w:t>
            </w:r>
          </w:p>
        </w:tc>
        <w:tc>
          <w:tcPr>
            <w:tcW w:w="2340" w:type="dxa"/>
          </w:tcPr>
          <w:p>
            <w:pPr/>
            <w:r>
              <w:t xml:space="preserve">12 keys</w:t>
            </w:r>
          </w:p>
        </w:tc>
        <w:tc>
          <w:tcPr>
            <w:tcW w:w="2340" w:type="dxa"/>
          </w:tcPr>
          <w:p>
            <w:pPr/>
            <w:r>
              <w:t xml:space="preserve">0.00</w:t>
            </w:r>
          </w:p>
        </w:tc>
      </w:tr>
      <w:tr>
        <w:tc>
          <w:tcPr>
            <w:tcW w:w="2340" w:type="dxa"/>
          </w:tcPr>
          <w:p>
            <w:pPr/>
            <w:r>
              <w:t xml:space="preserve">SQS dead-letter queue</w:t>
            </w:r>
          </w:p>
        </w:tc>
        <w:tc>
          <w:tcPr>
            <w:tcW w:w="2340" w:type="dxa"/>
          </w:tcPr>
          <w:p>
            <w:pPr/>
            <w:r>
              <w:t xml:space="preserve">1M requests free (</w:t>
            </w:r>
            <w:hyperlink r:id="rId12" w:history="1">
              <w:r>
                <w:rPr>
                  <w:rStyle w:val="Hyperlink"/>
                </w:rPr>
                <w:t xml:space="preserve">pricing</w:t>
              </w:r>
            </w:hyperlink>
            <w:r>
              <w:t xml:space="preserve">)</w:t>
            </w:r>
          </w:p>
        </w:tc>
        <w:tc>
          <w:tcPr>
            <w:tcW w:w="2340" w:type="dxa"/>
          </w:tcPr>
          <w:p>
            <w:pPr/>
            <w:r>
              <w:t xml:space="preserve">&lt;100</w:t>
            </w:r>
          </w:p>
        </w:tc>
        <w:tc>
          <w:tcPr>
            <w:tcW w:w="2340" w:type="dxa"/>
          </w:tcPr>
          <w:p>
            <w:pPr/>
            <w:r>
              <w:t xml:space="preserve">0.00</w:t>
            </w:r>
          </w:p>
        </w:tc>
      </w:tr>
      <w:tr>
        <w:tc>
          <w:tcPr>
            <w:tcW w:w="2340" w:type="dxa"/>
          </w:tcPr>
          <w:p>
            <w:pPr/>
            <w:r>
              <w:t xml:space="preserve">ECR container image</w:t>
            </w:r>
          </w:p>
        </w:tc>
        <w:tc>
          <w:tcPr>
            <w:tcW w:w="2340" w:type="dxa"/>
          </w:tcPr>
          <w:p>
            <w:pPr/>
            <w:r>
              <w:t xml:space="preserve">$0.10/GB-month; 500 MB free for 12 months on new accounts (</w:t>
            </w:r>
            <w:hyperlink r:id="rId13" w:history="1">
              <w:r>
                <w:rPr>
                  <w:rStyle w:val="Hyperlink"/>
                </w:rPr>
                <w:t xml:space="preserve">pricing</w:t>
              </w:r>
            </w:hyperlink>
            <w:r>
              <w:t xml:space="preserve">)</w:t>
            </w:r>
          </w:p>
        </w:tc>
        <w:tc>
          <w:tcPr>
            <w:tcW w:w="2340" w:type="dxa"/>
          </w:tcPr>
          <w:p>
            <w:pPr/>
            <w:r>
              <w:t xml:space="preserve">~0.5 GB</w:t>
            </w:r>
          </w:p>
        </w:tc>
        <w:tc>
          <w:tcPr>
            <w:tcW w:w="2340" w:type="dxa"/>
          </w:tcPr>
          <w:p>
            <w:pPr/>
            <w:r>
              <w:t xml:space="preserve">0.00–0.05</w:t>
            </w:r>
          </w:p>
        </w:tc>
      </w:tr>
      <w:tr>
        <w:tc>
          <w:tcPr>
            <w:tcW w:w="2340" w:type="dxa"/>
          </w:tcPr>
          <w:p>
            <w:pPr/>
            <w:r>
              <w:rPr>
                <w:b/>
              </w:rPr>
              <w:t xml:space="preserve">Monitoring and alerting</w:t>
            </w:r>
          </w:p>
        </w:tc>
        <w:tc>
          <w:tcPr>
            <w:tcW w:w="2340" w:type="dxa"/>
          </w:tcPr>
          <w:p>
            <w:pPr/>
          </w:p>
        </w:tc>
        <w:tc>
          <w:tcPr>
            <w:tcW w:w="2340" w:type="dxa"/>
          </w:tcPr>
          <w:p>
            <w:pPr/>
          </w:p>
        </w:tc>
        <w:tc>
          <w:tcPr>
            <w:tcW w:w="2340" w:type="dxa"/>
          </w:tcPr>
          <w:p>
            <w:pPr/>
          </w:p>
        </w:tc>
      </w:tr>
      <w:tr>
        <w:tc>
          <w:tcPr>
            <w:tcW w:w="2340" w:type="dxa"/>
          </w:tcPr>
          <w:p>
            <w:pPr/>
            <w:r>
              <w:t xml:space="preserve">CloudWatch Logs</w:t>
            </w:r>
          </w:p>
        </w:tc>
        <w:tc>
          <w:tcPr>
            <w:tcW w:w="2340" w:type="dxa"/>
          </w:tcPr>
          <w:p>
            <w:pPr/>
            <w:r>
              <w:t xml:space="preserve">5 GB a month free (ingest, storage, Logs Insights scans) (</w:t>
            </w:r>
            <w:hyperlink r:id="rId14" w:history="1">
              <w:r>
                <w:rPr>
                  <w:rStyle w:val="Hyperlink"/>
                </w:rPr>
                <w:t xml:space="preserve">pricing</w:t>
              </w:r>
            </w:hyperlink>
            <w:r>
              <w:t xml:space="preserve">)</w:t>
            </w:r>
          </w:p>
        </w:tc>
        <w:tc>
          <w:tcPr>
            <w:tcW w:w="2340" w:type="dxa"/>
          </w:tcPr>
          <w:p>
            <w:pPr/>
            <w:r>
              <w:t xml:space="preserve">~0.1 GB a month, 400-day retention (stays under the free 5 GB)</w:t>
            </w:r>
          </w:p>
        </w:tc>
        <w:tc>
          <w:tcPr>
            <w:tcW w:w="2340" w:type="dxa"/>
          </w:tcPr>
          <w:p>
            <w:pPr/>
            <w:r>
              <w:t xml:space="preserve">0.00</w:t>
            </w:r>
          </w:p>
        </w:tc>
      </w:tr>
      <w:tr>
        <w:tc>
          <w:tcPr>
            <w:tcW w:w="2340" w:type="dxa"/>
          </w:tcPr>
          <w:p>
            <w:pPr/>
            <w:r>
              <w:t xml:space="preserve">CloudWatch custom metrics</w:t>
            </w:r>
          </w:p>
        </w:tc>
        <w:tc>
          <w:tcPr>
            <w:tcW w:w="2340" w:type="dxa"/>
          </w:tcPr>
          <w:p>
            <w:pPr/>
            <w:r>
              <w:t xml:space="preserve">10 free, then $0.30 each</w:t>
            </w:r>
          </w:p>
        </w:tc>
        <w:tc>
          <w:tcPr>
            <w:tcW w:w="2340" w:type="dxa"/>
          </w:tcPr>
          <w:p>
            <w:pPr/>
            <w:r>
              <w:t xml:space="preserve">6</w:t>
            </w:r>
          </w:p>
        </w:tc>
        <w:tc>
          <w:tcPr>
            <w:tcW w:w="2340" w:type="dxa"/>
          </w:tcPr>
          <w:p>
            <w:pPr/>
            <w:r>
              <w:t xml:space="preserve">0.00</w:t>
            </w:r>
          </w:p>
        </w:tc>
      </w:tr>
      <w:tr>
        <w:tc>
          <w:tcPr>
            <w:tcW w:w="2340" w:type="dxa"/>
          </w:tcPr>
          <w:p>
            <w:pPr/>
            <w:r>
              <w:t xml:space="preserve">CloudWatch alarms</w:t>
            </w:r>
          </w:p>
        </w:tc>
        <w:tc>
          <w:tcPr>
            <w:tcW w:w="2340" w:type="dxa"/>
          </w:tcPr>
          <w:p>
            <w:pPr/>
            <w:r>
              <w:t xml:space="preserve">10 free, then $0.10 each</w:t>
            </w:r>
          </w:p>
        </w:tc>
        <w:tc>
          <w:tcPr>
            <w:tcW w:w="2340" w:type="dxa"/>
          </w:tcPr>
          <w:p>
            <w:pPr/>
            <w:r>
              <w:t xml:space="preserve">8</w:t>
            </w:r>
          </w:p>
        </w:tc>
        <w:tc>
          <w:tcPr>
            <w:tcW w:w="2340" w:type="dxa"/>
          </w:tcPr>
          <w:p>
            <w:pPr/>
            <w:r>
              <w:t xml:space="preserve">0.00</w:t>
            </w:r>
          </w:p>
        </w:tc>
      </w:tr>
      <w:tr>
        <w:tc>
          <w:tcPr>
            <w:tcW w:w="2340" w:type="dxa"/>
          </w:tcPr>
          <w:p>
            <w:pPr/>
            <w:r>
              <w:t xml:space="preserve">CloudWatch ops dashboard</w:t>
            </w:r>
          </w:p>
        </w:tc>
        <w:tc>
          <w:tcPr>
            <w:tcW w:w="2340" w:type="dxa"/>
          </w:tcPr>
          <w:p>
            <w:pPr/>
            <w:r>
              <w:t xml:space="preserve">3 free, then $3.00 each (</w:t>
            </w:r>
            <w:hyperlink r:id="rId15" w:history="1">
              <w:r>
                <w:rPr>
                  <w:rStyle w:val="Hyperlink"/>
                </w:rPr>
                <w:t xml:space="preserve">Vantage handbook</w:t>
              </w:r>
            </w:hyperlink>
            <w:r>
              <w:t xml:space="preserve">)</w:t>
            </w:r>
          </w:p>
        </w:tc>
        <w:tc>
          <w:tcPr>
            <w:tcW w:w="2340" w:type="dxa"/>
          </w:tcPr>
          <w:p>
            <w:pPr/>
            <w:r>
              <w:t xml:space="preserve">1</w:t>
            </w:r>
          </w:p>
        </w:tc>
        <w:tc>
          <w:tcPr>
            <w:tcW w:w="2340" w:type="dxa"/>
          </w:tcPr>
          <w:p>
            <w:pPr/>
            <w:r>
              <w:t xml:space="preserve">0.00</w:t>
            </w:r>
          </w:p>
        </w:tc>
      </w:tr>
      <w:tr>
        <w:tc>
          <w:tcPr>
            <w:tcW w:w="2340" w:type="dxa"/>
          </w:tcPr>
          <w:p>
            <w:pPr/>
            <w:r>
              <w:t xml:space="preserve">SNS email alerts</w:t>
            </w:r>
          </w:p>
        </w:tc>
        <w:tc>
          <w:tcPr>
            <w:tcW w:w="2340" w:type="dxa"/>
          </w:tcPr>
          <w:p>
            <w:pPr/>
            <w:r>
              <w:t xml:space="preserve">1,000 emails free, then $2.00 per 100,000 (</w:t>
            </w:r>
            <w:hyperlink r:id="rId16" w:history="1">
              <w:r>
                <w:rPr>
                  <w:rStyle w:val="Hyperlink"/>
                </w:rPr>
                <w:t xml:space="preserve">FAQ</w:t>
              </w:r>
            </w:hyperlink>
            <w:r>
              <w:t xml:space="preserve">)</w:t>
            </w:r>
          </w:p>
        </w:tc>
        <w:tc>
          <w:tcPr>
            <w:tcW w:w="2340" w:type="dxa"/>
          </w:tcPr>
          <w:p>
            <w:pPr/>
            <w:r>
              <w:t xml:space="preserve">&lt;50</w:t>
            </w:r>
          </w:p>
        </w:tc>
        <w:tc>
          <w:tcPr>
            <w:tcW w:w="2340" w:type="dxa"/>
          </w:tcPr>
          <w:p>
            <w:pPr/>
            <w:r>
              <w:t xml:space="preserve">0.00</w:t>
            </w:r>
          </w:p>
        </w:tc>
      </w:tr>
      <w:tr>
        <w:tc>
          <w:tcPr>
            <w:tcW w:w="2340" w:type="dxa"/>
          </w:tcPr>
          <w:p>
            <w:pPr/>
            <w:r>
              <w:t xml:space="preserve">AWS Budgets alert</w:t>
            </w:r>
          </w:p>
        </w:tc>
        <w:tc>
          <w:tcPr>
            <w:tcW w:w="2340" w:type="dxa"/>
          </w:tcPr>
          <w:p>
            <w:pPr/>
            <w:r>
              <w:t xml:space="preserve">Budget alerts free (</w:t>
            </w:r>
            <w:hyperlink r:id="rId17" w:history="1">
              <w:r>
                <w:rPr>
                  <w:rStyle w:val="Hyperlink"/>
                </w:rPr>
                <w:t xml:space="preserve">pricing</w:t>
              </w:r>
            </w:hyperlink>
            <w:r>
              <w:t xml:space="preserve">)</w:t>
            </w:r>
          </w:p>
        </w:tc>
        <w:tc>
          <w:tcPr>
            <w:tcW w:w="2340" w:type="dxa"/>
          </w:tcPr>
          <w:p>
            <w:pPr/>
            <w:r>
              <w:t xml:space="preserve">1 budget at $5</w:t>
            </w:r>
          </w:p>
        </w:tc>
        <w:tc>
          <w:tcPr>
            <w:tcW w:w="2340" w:type="dxa"/>
          </w:tcPr>
          <w:p>
            <w:pPr/>
            <w:r>
              <w:t xml:space="preserve">0.00</w:t>
            </w:r>
          </w:p>
        </w:tc>
      </w:tr>
      <w:tr>
        <w:tc>
          <w:tcPr>
            <w:tcW w:w="2340" w:type="dxa"/>
          </w:tcPr>
          <w:p>
            <w:pPr/>
            <w:r>
              <w:t xml:space="preserve">CloudTrail audit trail</w:t>
            </w:r>
          </w:p>
        </w:tc>
        <w:tc>
          <w:tcPr>
            <w:tcW w:w="2340" w:type="dxa"/>
          </w:tcPr>
          <w:p>
            <w:pPr/>
            <w:r>
              <w:t xml:space="preserve">First copy of management events free; pay S3 storage only</w:t>
            </w:r>
          </w:p>
        </w:tc>
        <w:tc>
          <w:tcPr>
            <w:tcW w:w="2340" w:type="dxa"/>
          </w:tcPr>
          <w:p>
            <w:pPr/>
            <w:r>
              <w:t xml:space="preserve">&lt;50 MB</w:t>
            </w:r>
          </w:p>
        </w:tc>
        <w:tc>
          <w:tcPr>
            <w:tcW w:w="2340" w:type="dxa"/>
          </w:tcPr>
          <w:p>
            <w:pPr/>
            <w:r>
              <w:t xml:space="preserve">&lt;0.01</w:t>
            </w:r>
          </w:p>
        </w:tc>
      </w:tr>
      <w:tr>
        <w:tc>
          <w:tcPr>
            <w:tcW w:w="2340" w:type="dxa"/>
          </w:tcPr>
          <w:p>
            <w:pPr/>
            <w:r>
              <w:t xml:space="preserve">Data-health panel in the dashboard</w:t>
            </w:r>
          </w:p>
        </w:tc>
        <w:tc>
          <w:tcPr>
            <w:tcW w:w="2340" w:type="dxa"/>
          </w:tcPr>
          <w:p>
            <w:pPr/>
            <w:r>
              <w:t xml:space="preserve">Built from </w:t>
            </w:r>
            <w:r>
              <w:rPr>
                <w:rStyle w:val="CodeChar"/>
              </w:rPr>
              <w:t xml:space="preserve">ingestion_runs</w:t>
            </w:r>
            <w:r>
              <w:t xml:space="preserve"> by the build job</w:t>
            </w:r>
          </w:p>
        </w:tc>
        <w:tc>
          <w:tcPr>
            <w:tcW w:w="2340" w:type="dxa"/>
          </w:tcPr>
          <w:p>
            <w:pPr/>
            <w:r>
              <w:t xml:space="preserve">—</w:t>
            </w:r>
          </w:p>
        </w:tc>
        <w:tc>
          <w:tcPr>
            <w:tcW w:w="2340" w:type="dxa"/>
          </w:tcPr>
          <w:p>
            <w:pPr/>
            <w:r>
              <w:t xml:space="preserve">included above</w:t>
            </w:r>
          </w:p>
        </w:tc>
      </w:tr>
      <w:tr>
        <w:tc>
          <w:tcPr>
            <w:tcW w:w="2340" w:type="dxa"/>
          </w:tcPr>
          <w:p>
            <w:pPr/>
            <w:r>
              <w:rPr>
                <w:b/>
              </w:rPr>
              <w:t xml:space="preserve">Optional</w:t>
            </w:r>
          </w:p>
        </w:tc>
        <w:tc>
          <w:tcPr>
            <w:tcW w:w="2340" w:type="dxa"/>
          </w:tcPr>
          <w:p>
            <w:pPr/>
          </w:p>
        </w:tc>
        <w:tc>
          <w:tcPr>
            <w:tcW w:w="2340" w:type="dxa"/>
          </w:tcPr>
          <w:p>
            <w:pPr/>
          </w:p>
        </w:tc>
        <w:tc>
          <w:tcPr>
            <w:tcW w:w="2340" w:type="dxa"/>
          </w:tcPr>
          <w:p>
            <w:pPr/>
          </w:p>
        </w:tc>
      </w:tr>
      <w:tr>
        <w:tc>
          <w:tcPr>
            <w:tcW w:w="2340" w:type="dxa"/>
          </w:tcPr>
          <w:p>
            <w:pPr/>
            <w:r>
              <w:t xml:space="preserve">Custom domain (.com on Route 53)</w:t>
            </w:r>
          </w:p>
        </w:tc>
        <w:tc>
          <w:tcPr>
            <w:tcW w:w="2340" w:type="dxa"/>
          </w:tcPr>
          <w:p>
            <w:pPr/>
            <w:r>
              <w:t xml:space="preserve">$16/year since July 2026 (</w:t>
            </w:r>
            <w:hyperlink r:id="rId18" w:history="1">
              <w:r>
                <w:rPr>
                  <w:rStyle w:val="Hyperlink"/>
                </w:rPr>
                <w:t xml:space="preserve">Classmethod</w:t>
              </w:r>
            </w:hyperlink>
            <w:r>
              <w:t xml:space="preserve">); DNS included in the CloudFront plan</w:t>
            </w:r>
          </w:p>
        </w:tc>
        <w:tc>
          <w:tcPr>
            <w:tcW w:w="2340" w:type="dxa"/>
          </w:tcPr>
          <w:p>
            <w:pPr/>
            <w:r>
              <w:t xml:space="preserve">1 domain</w:t>
            </w:r>
          </w:p>
        </w:tc>
        <w:tc>
          <w:tcPr>
            <w:tcW w:w="2340" w:type="dxa"/>
          </w:tcPr>
          <w:p>
            <w:pPr/>
            <w:r>
              <w:t xml:space="preserve">1.33</w:t>
            </w:r>
          </w:p>
        </w:tc>
      </w:tr>
      <w:tr>
        <w:tc>
          <w:tcPr>
            <w:tcW w:w="2340" w:type="dxa"/>
          </w:tcPr>
          <w:p>
            <w:pPr/>
            <w:r>
              <w:rPr>
                <w:b/>
              </w:rPr>
              <w:t xml:space="preserve">Total</w:t>
            </w:r>
          </w:p>
        </w:tc>
        <w:tc>
          <w:tcPr>
            <w:tcW w:w="2340" w:type="dxa"/>
          </w:tcPr>
          <w:p>
            <w:pPr/>
          </w:p>
        </w:tc>
        <w:tc>
          <w:tcPr>
            <w:tcW w:w="2340" w:type="dxa"/>
          </w:tcPr>
          <w:p>
            <w:pPr/>
          </w:p>
        </w:tc>
        <w:tc>
          <w:tcPr>
            <w:tcW w:w="2340" w:type="dxa"/>
          </w:tcPr>
          <w:p>
            <w:pPr/>
            <w:r>
              <w:rPr>
                <w:b/>
              </w:rPr>
              <w:t xml:space="preserve">~0.25 (≈1.60 with domain)</w:t>
            </w:r>
          </w:p>
        </w:tc>
      </w:tr>
    </w:tbl>
    <w:p>
      <w:pPr/>
      <w:r>
        <w:t xml:space="preserve">What keeps this accurate:</w:t>
      </w:r>
    </w:p>
    <w:p>
      <w:pPr>
        <w:pStyle w:val="ListParagraph"/>
        <w:numPr>
          <w:ilvl w:val="0"/>
          <w:numId w:val="8"/>
        </w:numPr>
      </w:pPr>
      <w:r>
        <w:rPr>
          <w:b/>
        </w:rPr>
        <w:t xml:space="preserve">Use a Paid-plan AWS account.</w:t>
      </w:r>
      <w:r>
        <w:t xml:space="preserve"> Accounts on the new Free plan close after 6 months; the always-free allowances above apply on both plans (</w:t>
      </w:r>
      <w:hyperlink r:id="rId19" w:history="1">
        <w:r>
          <w:rPr>
            <w:rStyle w:val="Hyperlink"/>
          </w:rPr>
          <w:t xml:space="preserve">AWS Free Tier</w:t>
        </w:r>
      </w:hyperlink>
      <w:r>
        <w:t xml:space="preserve">).</w:t>
      </w:r>
    </w:p>
    <w:p>
      <w:pPr>
        <w:pStyle w:val="ListParagraph"/>
        <w:numPr>
          <w:ilvl w:val="0"/>
          <w:numId w:val="8"/>
        </w:numPr>
      </w:pPr>
      <w:r>
        <w:rPr>
          <w:b/>
        </w:rPr>
        <w:t xml:space="preserve">Free allowances are per account.</w:t>
      </w:r>
      <w:r>
        <w:t xml:space="preserve"> If this account runs other workloads, they share the same Lambda, CloudWatch and SNS limits.</w:t>
      </w:r>
    </w:p>
    <w:p>
      <w:pPr>
        <w:pStyle w:val="ListParagraph"/>
        <w:numPr>
          <w:ilvl w:val="0"/>
          <w:numId w:val="8"/>
        </w:numPr>
      </w:pPr>
      <w:r>
        <w:rPr>
          <w:b/>
        </w:rPr>
        <w:t xml:space="preserve">The $5 budget alert</w:t>
      </w:r>
      <w:r>
        <w:t xml:space="preserve"> emails you if the bill drifts, so an estimate error shows up within a month.</w:t>
      </w:r>
    </w:p>
    <w:p>
      <w:pPr/>
      <w:r>
        <w:t xml:space="preserve">Cost traps the design avoids: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Avoided choice</w:t>
            </w:r>
          </w:p>
        </w:tc>
        <w:tc>
          <w:tcPr>
            <w:tcW w:w="3120" w:type="dxa"/>
            <w:shd w:val="clear" w:color="auto" w:fill="F2F2F2"/>
          </w:tcPr>
          <w:p>
            <w:pPr/>
            <w:r>
              <w:t xml:space="preserve">Cost if used</w:t>
            </w:r>
          </w:p>
        </w:tc>
        <w:tc>
          <w:tcPr>
            <w:tcW w:w="3120" w:type="dxa"/>
            <w:shd w:val="clear" w:color="auto" w:fill="F2F2F2"/>
          </w:tcPr>
          <w:p>
            <w:pPr/>
            <w:r>
              <w:t xml:space="preserve">What we do instead</w:t>
            </w:r>
          </w:p>
        </w:tc>
      </w:tr>
      <w:tr>
        <w:tc>
          <w:tcPr>
            <w:tcW w:w="3120" w:type="dxa"/>
          </w:tcPr>
          <w:p>
            <w:pPr/>
            <w:r>
              <w:t xml:space="preserve">Lambdas inside a VPC with a NAT gateway</w:t>
            </w:r>
          </w:p>
        </w:tc>
        <w:tc>
          <w:tcPr>
            <w:tcW w:w="3120" w:type="dxa"/>
          </w:tcPr>
          <w:p>
            <w:pPr/>
            <w:r>
              <w:t xml:space="preserve">~$33/month ($0.045/hour, plus $0.045/GB) (</w:t>
            </w:r>
            <w:hyperlink r:id="rId20" w:history="1">
              <w:r>
                <w:rPr>
                  <w:rStyle w:val="Hyperlink"/>
                </w:rPr>
                <w:t xml:space="preserve">pricing</w:t>
              </w:r>
            </w:hyperlink>
            <w:r>
              <w:t xml:space="preserve">)</w:t>
            </w:r>
          </w:p>
        </w:tc>
        <w:tc>
          <w:tcPr>
            <w:tcW w:w="3120" w:type="dxa"/>
          </w:tcPr>
          <w:p>
            <w:pPr/>
            <w:r>
              <w:t xml:space="preserve">Lambdas run outside a VPC; there is nothing private to reach</w:t>
            </w:r>
          </w:p>
        </w:tc>
      </w:tr>
      <w:tr>
        <w:tc>
          <w:tcPr>
            <w:tcW w:w="3120" w:type="dxa"/>
          </w:tcPr>
          <w:p>
            <w:pPr/>
            <w:r>
              <w:t xml:space="preserve">A CloudWatch metric per source (~60)</w:t>
            </w:r>
          </w:p>
        </w:tc>
        <w:tc>
          <w:tcPr>
            <w:tcW w:w="3120" w:type="dxa"/>
          </w:tcPr>
          <w:p>
            <w:pPr/>
            <w:r>
              <w:t xml:space="preserve">~$15/month (50 over the free 10 × $0.30)</w:t>
            </w:r>
          </w:p>
        </w:tc>
        <w:tc>
          <w:tcPr>
            <w:tcW w:w="3120" w:type="dxa"/>
          </w:tcPr>
          <w:p>
            <w:pPr/>
            <w:r>
              <w:t xml:space="preserve">Per-source health lives in </w:t>
            </w:r>
            <w:r>
              <w:rPr>
                <w:rStyle w:val="CodeChar"/>
              </w:rPr>
              <w:t xml:space="preserve">ingestion_runs</w:t>
            </w:r>
            <w:r>
              <w:t xml:space="preserve">; 6 summary metrics</w:t>
            </w:r>
          </w:p>
        </w:tc>
      </w:tr>
      <w:tr>
        <w:tc>
          <w:tcPr>
            <w:tcW w:w="3120" w:type="dxa"/>
          </w:tcPr>
          <w:p>
            <w:pPr/>
            <w:r>
              <w:t xml:space="preserve">Secrets Manager for 12 API keys</w:t>
            </w:r>
          </w:p>
        </w:tc>
        <w:tc>
          <w:tcPr>
            <w:tcW w:w="3120" w:type="dxa"/>
          </w:tcPr>
          <w:p>
            <w:pPr/>
            <w:r>
              <w:t xml:space="preserve">~$4/month ($0.40 per secret) (</w:t>
            </w:r>
            <w:hyperlink r:id="rId21" w:history="1">
              <w:r>
                <w:rPr>
                  <w:rStyle w:val="Hyperlink"/>
                </w:rPr>
                <w:t xml:space="preserve">pricing</w:t>
              </w:r>
            </w:hyperlink>
            <w:r>
              <w:t xml:space="preserve">)</w:t>
            </w:r>
          </w:p>
        </w:tc>
        <w:tc>
          <w:tcPr>
            <w:tcW w:w="3120" w:type="dxa"/>
          </w:tcPr>
          <w:p>
            <w:pPr/>
            <w:r>
              <w:t xml:space="preserve">SSM standard SecureString with the data KMS key, plus rotation reminders</w:t>
            </w:r>
          </w:p>
        </w:tc>
      </w:tr>
      <w:tr>
        <w:tc>
          <w:tcPr>
            <w:tcW w:w="3120" w:type="dxa"/>
          </w:tcPr>
          <w:p>
            <w:pPr/>
            <w:r>
              <w:t xml:space="preserve">Logs kept forever</w:t>
            </w:r>
          </w:p>
        </w:tc>
        <w:tc>
          <w:tcPr>
            <w:tcW w:w="3120" w:type="dxa"/>
          </w:tcPr>
          <w:p>
            <w:pPr/>
            <w:r>
              <w:t xml:space="preserve">Grows every month at $0.03/GB</w:t>
            </w:r>
          </w:p>
        </w:tc>
        <w:tc>
          <w:tcPr>
            <w:tcW w:w="3120" w:type="dxa"/>
          </w:tcPr>
          <w:p>
            <w:pPr/>
            <w:r>
              <w:t xml:space="preserve">400-day retention in CloudWatch; long history in S3</w:t>
            </w:r>
          </w:p>
        </w:tc>
      </w:tr>
      <w:tr>
        <w:tc>
          <w:tcPr>
            <w:tcW w:w="3120" w:type="dxa"/>
          </w:tcPr>
          <w:p>
            <w:pPr/>
            <w:r>
              <w:t xml:space="preserve">More than 3 CloudWatch dashboards</w:t>
            </w:r>
          </w:p>
        </w:tc>
        <w:tc>
          <w:tcPr>
            <w:tcW w:w="3120" w:type="dxa"/>
          </w:tcPr>
          <w:p>
            <w:pPr/>
            <w:r>
              <w:t xml:space="preserve">$3.00 each</w:t>
            </w:r>
          </w:p>
        </w:tc>
        <w:tc>
          <w:tcPr>
            <w:tcW w:w="3120" w:type="dxa"/>
          </w:tcPr>
          <w:p>
            <w:pPr/>
            <w:r>
              <w:t xml:space="preserve">One ops dashboard; data health lives in the app</w:t>
            </w:r>
          </w:p>
        </w:tc>
      </w:tr>
    </w:tbl>
    <w:p>
      <w:pPr/>
      <w:r>
        <w:t xml:space="preserve">Options considered and not chosen: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Est. $/month</w:t>
            </w:r>
          </w:p>
        </w:tc>
        <w:tc>
          <w:tcPr>
            <w:tcW w:w="3120" w:type="dxa"/>
            <w:shd w:val="clear" w:color="auto" w:fill="F2F2F2"/>
          </w:tcPr>
          <w:p>
            <w:pPr/>
            <w:r>
              <w:t xml:space="preserve">Why not now</w:t>
            </w:r>
          </w:p>
        </w:tc>
      </w:tr>
      <w:tr>
        <w:tc>
          <w:tcPr>
            <w:tcW w:w="3120" w:type="dxa"/>
          </w:tcPr>
          <w:p>
            <w:pPr/>
            <w:r>
              <w:t xml:space="preserve">Managed Postgres (RDS db.t4g.micro) instead of S3 Parquet</w:t>
            </w:r>
          </w:p>
        </w:tc>
        <w:tc>
          <w:tcPr>
            <w:tcW w:w="3120" w:type="dxa"/>
          </w:tcPr>
          <w:p>
            <w:pPr/>
            <w:r>
              <w:t xml:space="preserve">~15 (approximate)</w:t>
            </w:r>
          </w:p>
        </w:tc>
        <w:tc>
          <w:tcPr>
            <w:tcW w:w="3120" w:type="dxa"/>
          </w:tcPr>
          <w:p>
            <w:pPr/>
            <w:r>
              <w:t xml:space="preserve">Runs 24/7 for a workload that is busy ~2% of the time; free tier lapses after 12 months</w:t>
            </w:r>
          </w:p>
        </w:tc>
      </w:tr>
      <w:tr>
        <w:tc>
          <w:tcPr>
            <w:tcW w:w="3120" w:type="dxa"/>
          </w:tcPr>
          <w:p>
            <w:pPr/>
            <w:r>
              <w:t xml:space="preserve">Fargate or EC2 running a cron container</w:t>
            </w:r>
          </w:p>
        </w:tc>
        <w:tc>
          <w:tcPr>
            <w:tcW w:w="3120" w:type="dxa"/>
          </w:tcPr>
          <w:p>
            <w:pPr/>
            <w:r>
              <w:t xml:space="preserve">~6–15 (approximate)</w:t>
            </w:r>
          </w:p>
        </w:tc>
        <w:tc>
          <w:tcPr>
            <w:tcW w:w="3120" w:type="dxa"/>
          </w:tcPr>
          <w:p>
            <w:pPr/>
            <w:r>
              <w:t xml:space="preserve">Same idle-time waste, plus patching</w:t>
            </w:r>
          </w:p>
        </w:tc>
      </w:tr>
      <w:tr>
        <w:tc>
          <w:tcPr>
            <w:tcW w:w="3120" w:type="dxa"/>
          </w:tcPr>
          <w:p>
            <w:pPr/>
            <w:r>
              <w:t xml:space="preserve">Grafana Cloud or Streamlit Cloud for the UI</w:t>
            </w:r>
          </w:p>
        </w:tc>
        <w:tc>
          <w:tcPr>
            <w:tcW w:w="3120" w:type="dxa"/>
          </w:tcPr>
          <w:p>
            <w:pPr/>
            <w:r>
              <w:t xml:space="preserve">0 on free tiers</w:t>
            </w:r>
          </w:p>
        </w:tc>
        <w:tc>
          <w:tcPr>
            <w:tcW w:w="3120" w:type="dxa"/>
          </w:tcPr>
          <w:p>
            <w:pPr/>
            <w:r>
              <w:t xml:space="preserve">Less control over a dense, custom layout; Streamlit needs a running server</w:t>
            </w:r>
          </w:p>
        </w:tc>
      </w:tr>
      <w:tr>
        <w:tc>
          <w:tcPr>
            <w:tcW w:w="3120" w:type="dxa"/>
          </w:tcPr>
          <w:p>
            <w:pPr/>
            <w:r>
              <w:t xml:space="preserve">Cloudflare Workers + R2</w:t>
            </w:r>
          </w:p>
        </w:tc>
        <w:tc>
          <w:tcPr>
            <w:tcW w:w="3120" w:type="dxa"/>
          </w:tcPr>
          <w:p>
            <w:pPr/>
            <w:r>
              <w:t xml:space="preserve">~0</w:t>
            </w:r>
          </w:p>
        </w:tc>
        <w:tc>
          <w:tcPr>
            <w:tcW w:w="3120" w:type="dxa"/>
          </w:tcPr>
          <w:p>
            <w:pPr/>
            <w:r>
              <w:t xml:space="preserve">Also cheap, but Python data libraries (pyarrow, DuckDB, exchange_calendars) don't run well there</w:t>
            </w:r>
          </w:p>
        </w:tc>
      </w:tr>
    </w:tbl>
    <w:p>
      <w:pPr>
        <w:pStyle w:val="Heading2"/>
      </w:pPr>
      <w:r>
        <w:t xml:space="preserve">Languages and frameworks</w:t>
      </w:r>
    </w:p>
    <w:p>
      <w:pPr/>
      <w:r>
        <w:t xml:space="preserve">Python for everything that touches data, TypeScript for the browser, Terraform for the infrastructure.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Collectors and builds</w:t>
            </w:r>
          </w:p>
        </w:tc>
        <w:tc>
          <w:tcPr>
            <w:tcW w:w="3120" w:type="dxa"/>
          </w:tcPr>
          <w:p>
            <w:pPr/>
            <w:r>
              <w:t xml:space="preserve">Python 3.12</w:t>
            </w:r>
          </w:p>
        </w:tc>
        <w:tc>
          <w:tcPr>
            <w:tcW w:w="3120" w:type="dxa"/>
          </w:tcPr>
          <w:p>
            <w:pPr/>
            <w:r>
              <w:t xml:space="preserve">The calendar libraries in the catalog (exchange_calendars, holidays) and most data SDKs are Python</w:t>
            </w:r>
          </w:p>
        </w:tc>
      </w:tr>
      <w:tr>
        <w:tc>
          <w:tcPr>
            <w:tcW w:w="3120" w:type="dxa"/>
          </w:tcPr>
          <w:p>
            <w:pPr/>
            <w:r>
              <w:t xml:space="preserve">HTTP and parsing</w:t>
            </w:r>
          </w:p>
        </w:tc>
        <w:tc>
          <w:tcPr>
            <w:tcW w:w="3120" w:type="dxa"/>
          </w:tcPr>
          <w:p>
            <w:pPr/>
            <w:r>
              <w:t xml:space="preserve">httpx (with retries), feedparser, selectolax, openpyxl, pdfplumber</w:t>
            </w:r>
          </w:p>
        </w:tc>
        <w:tc>
          <w:tcPr>
            <w:tcW w:w="3120" w:type="dxa"/>
          </w:tcPr>
          <w:p>
            <w:pPr/>
            <w:r>
              <w:t xml:space="preserve">Covers REST, RSS, HTML, XLSX and PDF sources</w:t>
            </w:r>
          </w:p>
        </w:tc>
      </w:tr>
      <w:tr>
        <w:tc>
          <w:tcPr>
            <w:tcW w:w="3120" w:type="dxa"/>
          </w:tcPr>
          <w:p>
            <w:pPr/>
            <w:r>
              <w:t xml:space="preserve">Data</w:t>
            </w:r>
          </w:p>
        </w:tc>
        <w:tc>
          <w:tcPr>
            <w:tcW w:w="3120" w:type="dxa"/>
          </w:tcPr>
          <w:p>
            <w:pPr/>
            <w:r>
              <w:t xml:space="preserve">Polars + pyarrow for transforms, DuckDB for SQL over S3 Parquet</w:t>
            </w:r>
          </w:p>
        </w:tc>
        <w:tc>
          <w:tcPr>
            <w:tcW w:w="3120" w:type="dxa"/>
          </w:tcPr>
          <w:p>
            <w:pPr/>
            <w:r>
              <w:t xml:space="preserve">Fast in small memory; no database server</w:t>
            </w:r>
          </w:p>
        </w:tc>
      </w:tr>
      <w:tr>
        <w:tc>
          <w:tcPr>
            <w:tcW w:w="3120" w:type="dxa"/>
          </w:tcPr>
          <w:p>
            <w:pPr/>
            <w:r>
              <w:t xml:space="preserve">Validation</w:t>
            </w:r>
          </w:p>
        </w:tc>
        <w:tc>
          <w:tcPr>
            <w:tcW w:w="3120" w:type="dxa"/>
          </w:tcPr>
          <w:p>
            <w:pPr/>
            <w:r>
              <w:t xml:space="preserve">Pydantic models per table</w:t>
            </w:r>
          </w:p>
        </w:tc>
        <w:tc>
          <w:tcPr>
            <w:tcW w:w="3120" w:type="dxa"/>
          </w:tcPr>
          <w:p>
            <w:pPr/>
            <w:r>
              <w:t xml:space="preserve">Bad payloads fail loudly instead of writing wrong numbers</w:t>
            </w:r>
          </w:p>
        </w:tc>
      </w:tr>
      <w:tr>
        <w:tc>
          <w:tcPr>
            <w:tcW w:w="3120" w:type="dxa"/>
          </w:tcPr>
          <w:p>
            <w:pPr/>
            <w:r>
              <w:t xml:space="preserve">Front end</w:t>
            </w:r>
          </w:p>
        </w:tc>
        <w:tc>
          <w:tcPr>
            <w:tcW w:w="3120" w:type="dxa"/>
          </w:tcPr>
          <w:p>
            <w:pPr/>
            <w:r>
              <w:t xml:space="preserve">TypeScript, Vite, Svelte</w:t>
            </w:r>
          </w:p>
        </w:tc>
        <w:tc>
          <w:tcPr>
            <w:tcW w:w="3120" w:type="dxa"/>
          </w:tcPr>
          <w:p>
            <w:pPr/>
            <w:r>
              <w:t xml:space="preserve">Small bundle, compiles to static files</w:t>
            </w:r>
          </w:p>
        </w:tc>
      </w:tr>
      <w:tr>
        <w:tc>
          <w:tcPr>
            <w:tcW w:w="3120" w:type="dxa"/>
          </w:tcPr>
          <w:p>
            <w:pPr/>
            <w:r>
              <w:t xml:space="preserve">Charts</w:t>
            </w:r>
          </w:p>
        </w:tc>
        <w:tc>
          <w:tcPr>
            <w:tcW w:w="3120" w:type="dxa"/>
          </w:tcPr>
          <w:p>
            <w:pPr/>
            <w:r>
              <w:t xml:space="preserve">uPlot for time series, Apache ECharts for heatmaps</w:t>
            </w:r>
          </w:p>
        </w:tc>
        <w:tc>
          <w:tcPr>
            <w:tcW w:w="3120" w:type="dxa"/>
          </w:tcPr>
          <w:p>
            <w:pPr/>
            <w:r>
              <w:t xml:space="preserve">uPlot draws dense multi-series charts and sparklines very fast; ECharts covers the rest</w:t>
            </w:r>
          </w:p>
        </w:tc>
      </w:tr>
      <w:tr>
        <w:tc>
          <w:tcPr>
            <w:tcW w:w="3120" w:type="dxa"/>
          </w:tcPr>
          <w:p>
            <w:pPr/>
            <w:r>
              <w:t xml:space="preserve">Infrastructure as code</w:t>
            </w:r>
          </w:p>
        </w:tc>
        <w:tc>
          <w:tcPr>
            <w:tcW w:w="3120" w:type="dxa"/>
          </w:tcPr>
          <w:p>
            <w:pPr/>
            <w:r>
              <w:t xml:space="preserve">Terraform, state in S3</w:t>
            </w:r>
          </w:p>
        </w:tc>
        <w:tc>
          <w:tcPr>
            <w:tcW w:w="3120" w:type="dxa"/>
          </w:tcPr>
          <w:p>
            <w:pPr/>
            <w:r>
              <w:t xml:space="preserve">Your daily tool; every resource is reproducible</w:t>
            </w:r>
          </w:p>
        </w:tc>
      </w:tr>
      <w:tr>
        <w:tc>
          <w:tcPr>
            <w:tcW w:w="3120" w:type="dxa"/>
          </w:tcPr>
          <w:p>
            <w:pPr/>
            <w:r>
              <w:t xml:space="preserve">CI/CD</w:t>
            </w:r>
          </w:p>
        </w:tc>
        <w:tc>
          <w:tcPr>
            <w:tcW w:w="3120" w:type="dxa"/>
          </w:tcPr>
          <w:p>
            <w:pPr/>
            <w:r>
              <w:t xml:space="preserve">GitHub Actions with OIDC role into AWS</w:t>
            </w:r>
          </w:p>
        </w:tc>
        <w:tc>
          <w:tcPr>
            <w:tcW w:w="3120" w:type="dxa"/>
          </w:tcPr>
          <w:p>
            <w:pPr/>
            <w:r>
              <w:t xml:space="preserve">No long-lived AWS keys; free minutes cover a project this size</w:t>
            </w:r>
          </w:p>
        </w:tc>
      </w:tr>
      <w:tr>
        <w:tc>
          <w:tcPr>
            <w:tcW w:w="3120" w:type="dxa"/>
          </w:tcPr>
          <w:p>
            <w:pPr/>
            <w:r>
              <w:t xml:space="preserve">Tests</w:t>
            </w:r>
          </w:p>
        </w:tc>
        <w:tc>
          <w:tcPr>
            <w:tcW w:w="3120" w:type="dxa"/>
          </w:tcPr>
          <w:p>
            <w:pPr/>
            <w:r>
              <w:t xml:space="preserve">pytest with recorded responses per adapter</w:t>
            </w:r>
          </w:p>
        </w:tc>
        <w:tc>
          <w:tcPr>
            <w:tcW w:w="3120" w:type="dxa"/>
          </w:tcPr>
          <w:p>
            <w:pPr/>
            <w:r>
              <w:t xml:space="preserve">Catches a source changing its format before it reaches the dashboard</w:t>
            </w:r>
          </w:p>
        </w:tc>
      </w:tr>
    </w:tbl>
    <w:p>
      <w:pPr/>
      <w:r>
        <w:t xml:space="preserve">The dashboard layout follows the project brief: dense small multiples rather than a few big charts. A top row of sparklines (TSLA, SPCX, 2Y, 10Y, 10Y–2Y, fed funds, CPI YoY, VIX), then price charts with event markers from </w:t>
      </w:r>
      <w:r>
        <w:rPr>
          <w:rStyle w:val="CodeChar"/>
        </w:rPr>
        <w:t xml:space="preserve">events</w:t>
      </w:r>
      <w:r>
        <w:t xml:space="preserve">, then compact tables for upcoming releases, launches and permit changes.</w:t>
      </w:r>
    </w:p>
    <w:p>
      <w:pPr>
        <w:pStyle w:val="Heading2"/>
      </w:pPr>
      <w:r>
        <w:t xml:space="preserve">Operations</w:t>
      </w:r>
    </w:p>
    <w:p>
      <w:pPr/>
      <w:r>
        <w:t xml:space="preserve">The system watches itself through the </w:t>
      </w:r>
      <w:r>
        <w:rPr>
          <w:rStyle w:val="CodeChar"/>
        </w:rPr>
        <w:t xml:space="preserve">ingestion_runs</w:t>
      </w:r>
      <w:r>
        <w:t xml:space="preserve"> table, and a data-health panel on the dashboard shows when each source last succeeded.</w:t>
      </w:r>
    </w:p>
    <w:p>
      <w:pPr/>
      <w:r>
        <w:t xml:space="preserve">Monitoring is sized to stay inside CloudWatch's free 10 metrics, 10 alarms and 3 dashboards: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What it covers</w:t>
            </w:r>
          </w:p>
        </w:tc>
        <w:tc>
          <w:tcPr>
            <w:tcW w:w="2340" w:type="dxa"/>
            <w:shd w:val="clear" w:color="auto" w:fill="F2F2F2"/>
          </w:tcPr>
          <w:p>
            <w:pPr/>
            <w:r>
              <w:t xml:space="preserve">Count</w:t>
            </w:r>
          </w:p>
        </w:tc>
        <w:tc>
          <w:tcPr>
            <w:tcW w:w="2340" w:type="dxa"/>
            <w:shd w:val="clear" w:color="auto" w:fill="F2F2F2"/>
          </w:tcPr>
          <w:p>
            <w:pPr/>
            <w:r>
              <w:t xml:space="preserve">Free limit</w:t>
            </w:r>
          </w:p>
        </w:tc>
      </w:tr>
      <w:tr>
        <w:tc>
          <w:tcPr>
            <w:tcW w:w="2340" w:type="dxa"/>
          </w:tcPr>
          <w:p>
            <w:pPr/>
            <w:r>
              <w:t xml:space="preserve">Custom metrics</w:t>
            </w:r>
          </w:p>
        </w:tc>
        <w:tc>
          <w:tcPr>
            <w:tcW w:w="2340" w:type="dxa"/>
          </w:tcPr>
          <w:p>
            <w:pPr/>
            <w:r>
              <w:t xml:space="preserve">Failed runs, stale P1 sources, stale sources (all), lowest rate-limit headroom %, manifest age (minutes), rows written</w:t>
            </w:r>
          </w:p>
        </w:tc>
        <w:tc>
          <w:tcPr>
            <w:tcW w:w="2340" w:type="dxa"/>
          </w:tcPr>
          <w:p>
            <w:pPr/>
            <w:r>
              <w:t xml:space="preserve">6</w:t>
            </w:r>
          </w:p>
        </w:tc>
        <w:tc>
          <w:tcPr>
            <w:tcW w:w="2340" w:type="dxa"/>
          </w:tcPr>
          <w:p>
            <w:pPr/>
            <w:r>
              <w:t xml:space="preserve">10</w:t>
            </w:r>
          </w:p>
        </w:tc>
      </w:tr>
      <w:tr>
        <w:tc>
          <w:tcPr>
            <w:tcW w:w="2340" w:type="dxa"/>
          </w:tcPr>
          <w:p>
            <w:pPr/>
            <w:r>
              <w:t xml:space="preserve">Alarms → SNS email</w:t>
            </w:r>
          </w:p>
        </w:tc>
        <w:tc>
          <w:tcPr>
            <w:tcW w:w="2340" w:type="dxa"/>
          </w:tcPr>
          <w:p>
            <w:pPr/>
            <w:r>
              <w:t xml:space="preserve">Lambda errors (all functions), Lambda throttles, dead-letter queue not empty, 2 failed runs in a row, any stale P1 source, rate-limit headroom under 20%, manifest older than 90 min in market hours, bill over $5</w:t>
            </w:r>
          </w:p>
        </w:tc>
        <w:tc>
          <w:tcPr>
            <w:tcW w:w="2340" w:type="dxa"/>
          </w:tcPr>
          <w:p>
            <w:pPr/>
            <w:r>
              <w:t xml:space="preserve">8</w:t>
            </w:r>
          </w:p>
        </w:tc>
        <w:tc>
          <w:tcPr>
            <w:tcW w:w="2340" w:type="dxa"/>
          </w:tcPr>
          <w:p>
            <w:pPr/>
            <w:r>
              <w:t xml:space="preserve">10</w:t>
            </w:r>
          </w:p>
        </w:tc>
      </w:tr>
      <w:tr>
        <w:tc>
          <w:tcPr>
            <w:tcW w:w="2340" w:type="dxa"/>
          </w:tcPr>
          <w:p>
            <w:pPr/>
            <w:r>
              <w:t xml:space="preserve">CloudWatch ops dashboard</w:t>
            </w:r>
          </w:p>
        </w:tc>
        <w:tc>
          <w:tcPr>
            <w:tcW w:w="2340" w:type="dxa"/>
          </w:tcPr>
          <w:p>
            <w:pPr/>
            <w:r>
              <w:t xml:space="preserve">Lambda runs, errors and duration; the 6 metrics; S3 size; CloudFront requests</w:t>
            </w:r>
          </w:p>
        </w:tc>
        <w:tc>
          <w:tcPr>
            <w:tcW w:w="2340" w:type="dxa"/>
          </w:tcPr>
          <w:p>
            <w:pPr/>
            <w:r>
              <w:t xml:space="preserve">1</w:t>
            </w:r>
          </w:p>
        </w:tc>
        <w:tc>
          <w:tcPr>
            <w:tcW w:w="2340" w:type="dxa"/>
          </w:tcPr>
          <w:p>
            <w:pPr/>
            <w:r>
              <w:t xml:space="preserve">3</w:t>
            </w:r>
          </w:p>
        </w:tc>
      </w:tr>
      <w:tr>
        <w:tc>
          <w:tcPr>
            <w:tcW w:w="2340" w:type="dxa"/>
          </w:tcPr>
          <w:p>
            <w:pPr/>
            <w:r>
              <w:t xml:space="preserve">Data-health panel (in the app)</w:t>
            </w:r>
          </w:p>
        </w:tc>
        <w:tc>
          <w:tcPr>
            <w:tcW w:w="2340" w:type="dxa"/>
          </w:tcPr>
          <w:p>
            <w:pPr/>
            <w:r>
              <w:t xml:space="preserve">Last success, age and error for every source, from </w:t>
            </w:r>
            <w:r>
              <w:rPr>
                <w:rStyle w:val="CodeChar"/>
              </w:rPr>
              <w:t xml:space="preserve">ingestion_runs</w:t>
            </w:r>
          </w:p>
        </w:tc>
        <w:tc>
          <w:tcPr>
            <w:tcW w:w="2340" w:type="dxa"/>
          </w:tcPr>
          <w:p>
            <w:pPr/>
            <w:r>
              <w:t xml:space="preserve">1</w:t>
            </w:r>
          </w:p>
        </w:tc>
        <w:tc>
          <w:tcPr>
            <w:tcW w:w="2340" w:type="dxa"/>
          </w:tcPr>
          <w:p>
            <w:pPr/>
            <w:r>
              <w:t xml:space="preserve">not CloudWatch</w:t>
            </w:r>
          </w:p>
        </w:tc>
      </w:tr>
      <w:tr>
        <w:tc>
          <w:tcPr>
            <w:tcW w:w="2340" w:type="dxa"/>
          </w:tcPr>
          <w:p>
            <w:pPr/>
            <w:r>
              <w:t xml:space="preserve">AWS Budgets</w:t>
            </w:r>
          </w:p>
        </w:tc>
        <w:tc>
          <w:tcPr>
            <w:tcW w:w="2340" w:type="dxa"/>
          </w:tcPr>
          <w:p>
            <w:pPr/>
            <w:r>
              <w:t xml:space="preserve">Email at 80% and 100% of $5 a month</w:t>
            </w:r>
          </w:p>
        </w:tc>
        <w:tc>
          <w:tcPr>
            <w:tcW w:w="2340" w:type="dxa"/>
          </w:tcPr>
          <w:p>
            <w:pPr/>
            <w:r>
              <w:t xml:space="preserve">1</w:t>
            </w:r>
          </w:p>
        </w:tc>
        <w:tc>
          <w:tcPr>
            <w:tcW w:w="2340" w:type="dxa"/>
          </w:tcPr>
          <w:p>
            <w:pPr/>
            <w:r>
              <w:t xml:space="preserve">free</w:t>
            </w:r>
          </w:p>
        </w:tc>
      </w:tr>
    </w:tbl>
    <w:p>
      <w:pPr>
        <w:pStyle w:val="ListParagraph"/>
        <w:numPr>
          <w:ilvl w:val="0"/>
          <w:numId w:val="9"/>
        </w:numPr>
      </w:pPr>
      <w:r>
        <w:rPr>
          <w:b/>
        </w:rPr>
        <w:t xml:space="preserve">Freshness rules:</w:t>
      </w:r>
      <w:r>
        <w:t xml:space="preserve"> each source has a max age (hourly sources 2 h on trading days, daily 30 h, weekly 8 days). A stale source turns its panel amber.</w:t>
      </w:r>
    </w:p>
    <w:p>
      <w:pPr>
        <w:pStyle w:val="ListParagraph"/>
        <w:numPr>
          <w:ilvl w:val="0"/>
          <w:numId w:val="9"/>
        </w:numPr>
      </w:pPr>
      <w:r>
        <w:rPr>
          <w:b/>
        </w:rPr>
        <w:t xml:space="preserve">Logs:</w:t>
      </w:r>
      <w:r>
        <w:t xml:space="preserve"> structured JSON with </w:t>
      </w:r>
      <w:r>
        <w:rPr>
          <w:rStyle w:val="CodeChar"/>
        </w:rPr>
        <w:t xml:space="preserve">run_id</w:t>
      </w:r>
      <w:r>
        <w:t xml:space="preserve"> and </w:t>
      </w:r>
      <w:r>
        <w:rPr>
          <w:rStyle w:val="CodeChar"/>
        </w:rPr>
        <w:t xml:space="preserve">source_id</w:t>
      </w:r>
      <w:r>
        <w:t xml:space="preserve">, kept 400 days in CloudWatch (audit records 30 months in S3); </w:t>
      </w:r>
      <w:r>
        <w:rPr>
          <w:rStyle w:val="CodeChar"/>
        </w:rPr>
        <w:t xml:space="preserve">ingestion_runs</w:t>
      </w:r>
      <w:r>
        <w:t xml:space="preserve"> keeps the long history in S3.</w:t>
      </w:r>
    </w:p>
    <w:p>
      <w:pPr>
        <w:pStyle w:val="ListParagraph"/>
        <w:numPr>
          <w:ilvl w:val="0"/>
          <w:numId w:val="9"/>
        </w:numPr>
      </w:pPr>
      <w:r>
        <w:rPr>
          <w:b/>
        </w:rPr>
        <w:t xml:space="preserve">Secrets:</w:t>
      </w:r>
      <w:r>
        <w:t xml:space="preserve"> API keys in SSM Parameter Store, encrypted with the data KMS key and rotated on a schedule (see API key rotation); the SEC User-Agent email is config, not code.</w:t>
      </w:r>
    </w:p>
    <w:p>
      <w:pPr>
        <w:pStyle w:val="ListParagraph"/>
        <w:numPr>
          <w:ilvl w:val="0"/>
          <w:numId w:val="9"/>
        </w:numPr>
      </w:pPr>
      <w:r>
        <w:rPr>
          <w:b/>
        </w:rPr>
        <w:t xml:space="preserve">Backups:</w:t>
      </w:r>
      <w:r>
        <w:t xml:space="preserve"> S3 versioning; old versions expire after 7 days under </w:t>
      </w:r>
      <w:r>
        <w:rPr>
          <w:rStyle w:val="CodeChar"/>
        </w:rPr>
        <w:t xml:space="preserve">serving/</w:t>
      </w:r>
      <w:r>
        <w:t xml:space="preserve"> and 90 days elsewhere. Any curated table can be rebuilt from the raw layer.</w:t>
      </w:r>
    </w:p>
    <w:p>
      <w:pPr>
        <w:pStyle w:val="ListParagraph"/>
        <w:numPr>
          <w:ilvl w:val="0"/>
          <w:numId w:val="9"/>
        </w:numPr>
      </w:pPr>
      <w:r>
        <w:rPr>
          <w:b/>
        </w:rPr>
        <w:t xml:space="preserve">Schema changes:</w:t>
      </w:r>
      <w:r>
        <w:t xml:space="preserve"> adapters have recorded-response tests; a parse failure saves the raw file but no curated rows, so nothing wrong reaches the screen.</w:t>
      </w:r>
    </w:p>
    <w:p>
      <w:pPr>
        <w:pStyle w:val="ListParagraph"/>
        <w:numPr>
          <w:ilvl w:val="0"/>
          <w:numId w:val="9"/>
        </w:numPr>
      </w:pPr>
      <w:r>
        <w:rPr>
          <w:b/>
        </w:rPr>
        <w:t xml:space="preserve">Deploys:</w:t>
      </w:r>
      <w:r>
        <w:t xml:space="preserve"> pushing to </w:t>
      </w:r>
      <w:r>
        <w:rPr>
          <w:rStyle w:val="CodeChar"/>
        </w:rPr>
        <w:t xml:space="preserve">main</w:t>
      </w:r>
      <w:r>
        <w:t xml:space="preserve"> runs tests, builds the image, then </w:t>
      </w:r>
      <w:r>
        <w:rPr>
          <w:rStyle w:val="CodeChar"/>
        </w:rPr>
        <w:t xml:space="preserve">terraform apply</w:t>
      </w:r>
      <w:r>
        <w:t xml:space="preserve">; the front end deploys to S3 with a CloudFront invalidation.</w:t>
      </w:r>
    </w:p>
    <w:p>
      <w:pPr>
        <w:pStyle w:val="ListParagraph"/>
        <w:numPr>
          <w:ilvl w:val="0"/>
          <w:numId w:val="9"/>
        </w:numPr>
      </w:pPr>
      <w:r>
        <w:rPr>
          <w:b/>
        </w:rPr>
        <w:t xml:space="preserve">Yearly upkeep:</w:t>
      </w:r>
      <w:r>
        <w:t xml:space="preserve"> upgrade exchange_calendars and holidays each December (catalog job A1) and re-check free-tier limits.</w:t>
      </w:r>
    </w:p>
    <w:p>
      <w:pPr>
        <w:pStyle w:val="Heading2"/>
      </w:pPr>
      <w:r>
        <w:t xml:space="preserve">FedRAMP Moderate alignment</w:t>
      </w:r>
    </w:p>
    <w:p>
      <w:pPr/>
      <w:r>
        <w:t xml:space="preserve">Meeting the FedRAMP Moderate technical controls (NIST SP 800-53 Rev 5) raises the monthly bill from about $0.25 to </w:t>
      </w:r>
      <w:r>
        <w:rPr>
          <w:b/>
        </w:rPr>
        <w:t xml:space="preserve">about $21–35 (typically ~$27)</w:t>
      </w:r>
      <w:r>
        <w:t xml:space="preserve">. Most of that is Security Hub, Inspector, AWS Config, encryption keys and an external health check. The Terraform starter below sets all of it up.</w:t>
      </w:r>
    </w:p>
    <w:p>
      <w:pPr/>
      <w:r>
        <w:t xml:space="preserve">What changes from the base design:</w:t>
      </w:r>
    </w:p>
    <w:p>
      <w:pPr>
        <w:pStyle w:val="ListParagraph"/>
        <w:numPr>
          <w:ilvl w:val="0"/>
          <w:numId w:val="10"/>
        </w:numPr>
      </w:pPr>
      <w:r>
        <w:rPr>
          <w:b/>
        </w:rPr>
        <w:t xml:space="preserve">Security monitoring:</w:t>
      </w:r>
      <w:r>
        <w:t xml:space="preserve"> GuardDuty, Security Hub with the NIST 800-53 Rev 5 standard, Inspector, AWS Config, and CloudTrail data events with Insights.</w:t>
      </w:r>
    </w:p>
    <w:p>
      <w:pPr>
        <w:pStyle w:val="ListParagraph"/>
        <w:numPr>
          <w:ilvl w:val="0"/>
          <w:numId w:val="10"/>
        </w:numPr>
      </w:pPr>
      <w:r>
        <w:rPr>
          <w:b/>
        </w:rPr>
        <w:t xml:space="preserve">Encryption keys:</w:t>
      </w:r>
      <w:r>
        <w:t xml:space="preserve"> customer-managed KMS keys (data, audit, DR replica) replace AWS-managed keys. This reverses the base design's "cost trap" choice, because SC-12 and SC-28 call for keys you control.</w:t>
      </w:r>
    </w:p>
    <w:p>
      <w:pPr>
        <w:pStyle w:val="ListParagraph"/>
        <w:numPr>
          <w:ilvl w:val="0"/>
          <w:numId w:val="10"/>
        </w:numPr>
      </w:pPr>
      <w:r>
        <w:rPr>
          <w:b/>
        </w:rPr>
        <w:t xml:space="preserve">Audit records:</w:t>
      </w:r>
      <w:r>
        <w:t xml:space="preserve"> kept 30 months in an Object-Locked bucket. That is 12 months searchable plus 18 months cold.</w:t>
      </w:r>
    </w:p>
    <w:p>
      <w:pPr>
        <w:pStyle w:val="ListParagraph"/>
        <w:numPr>
          <w:ilvl w:val="0"/>
          <w:numId w:val="10"/>
        </w:numPr>
      </w:pPr>
      <w:r>
        <w:rPr>
          <w:b/>
        </w:rPr>
        <w:t xml:space="preserve">Disaster recovery:</w:t>
      </w:r>
      <w:r>
        <w:t xml:space="preserve"> the data lake is replicated to us-west-2.</w:t>
      </w:r>
    </w:p>
    <w:p>
      <w:pPr>
        <w:pStyle w:val="ListParagraph"/>
        <w:numPr>
          <w:ilvl w:val="0"/>
          <w:numId w:val="10"/>
        </w:numPr>
      </w:pPr>
      <w:r>
        <w:rPr>
          <w:b/>
        </w:rPr>
        <w:t xml:space="preserve">Sign-in:</w:t>
      </w:r>
      <w:r>
        <w:t xml:space="preserve"> people sign in to AWS through IAM Identity Center with MFA, and dashboard sign-in requires MFA too. The 12 provider API keys rotate every 90–365 days, with emailed reminders.</w:t>
      </w:r>
    </w:p>
    <w:p>
      <w:pPr/>
      <w:r>
        <w:t xml:space="preserve">Scope notes:</w:t>
      </w:r>
    </w:p>
    <w:p>
      <w:pPr>
        <w:pStyle w:val="ListParagraph"/>
        <w:numPr>
          <w:ilvl w:val="0"/>
          <w:numId w:val="11"/>
        </w:numPr>
      </w:pPr>
      <w:r>
        <w:rPr>
          <w:b/>
        </w:rPr>
        <w:t xml:space="preserve">Technical controls only.</w:t>
      </w:r>
      <w:r>
        <w:t xml:space="preserve"> A FedRAMP authorization also needs a System Security Plan, policies, a 3PAO assessment and monthly continuous-monitoring reports. Those don't apply to a personal system.</w:t>
      </w:r>
    </w:p>
    <w:p>
      <w:pPr>
        <w:pStyle w:val="ListParagraph"/>
        <w:numPr>
          <w:ilvl w:val="0"/>
          <w:numId w:val="11"/>
        </w:numPr>
      </w:pPr>
      <w:r>
        <w:rPr>
          <w:b/>
        </w:rPr>
        <w:t xml:space="preserve">Region:</w:t>
      </w:r>
      <w:r>
        <w:t xml:space="preserve"> in us-east-1 every service used is FedRAMP Moderate authorized, except Security Hub and Budgets. AWS lists those two as "FedRAMP not required" management tools; they hold no dashboard data. CloudFront is listed with an exclusion for Embedded PoPs (</w:t>
      </w:r>
      <w:hyperlink r:id="rId22" w:history="1">
        <w:r>
          <w:rPr>
            <w:rStyle w:val="Hyperlink"/>
          </w:rPr>
          <w:t xml:space="preserve">AWS services in scope</w:t>
        </w:r>
      </w:hyperlink>
      <w:r>
        <w:t xml:space="preserve">).</w:t>
      </w:r>
    </w:p>
    <w:p>
      <w:pPr>
        <w:pStyle w:val="ListParagraph"/>
        <w:numPr>
          <w:ilvl w:val="0"/>
          <w:numId w:val="11"/>
        </w:numPr>
      </w:pPr>
      <w:r>
        <w:rPr>
          <w:b/>
        </w:rPr>
        <w:t xml:space="preserve">Log retention:</w:t>
      </w:r>
      <w:r>
        <w:t xml:space="preserve"> FedRAMP's AU-11 parameter points to OMB M-21-31 (12 months active, 18 months cold) (</w:t>
      </w:r>
      <w:hyperlink r:id="rId23" w:history="1">
        <w:r>
          <w:rPr>
            <w:rStyle w:val="Hyperlink"/>
          </w:rPr>
          <w:t xml:space="preserve">AU-11</w:t>
        </w:r>
      </w:hyperlink>
      <w:r>
        <w:t xml:space="preserve">). </w:t>
      </w:r>
      <w:hyperlink r:id="rId24" w:history="1">
        <w:r>
          <w:rPr>
            <w:rStyle w:val="Hyperlink"/>
          </w:rPr>
          <w:t xml:space="preserve">OMB M-26-14</w:t>
        </w:r>
      </w:hyperlink>
      <w:r>
        <w:t xml:space="preserve">, signed 22 May 2026, replaced M-21-31 with 6 months searchable plus 12 months cold. Keeping 30 months meets both.</w:t>
      </w:r>
    </w:p>
    <w:p>
      <w:pPr>
        <w:pStyle w:val="Heading3"/>
      </w:pPr>
      <w:r>
        <w:t xml:space="preserve">Observability</w:t>
      </w:r>
    </w:p>
    <w:p>
      <w:pPr/>
      <w:r>
        <w:t xml:space="preserve">Every signal carries the same </w:t>
      </w:r>
      <w:r>
        <w:rPr>
          <w:rStyle w:val="CodeChar"/>
        </w:rPr>
        <w:t xml:space="preserve">run_id</w:t>
      </w:r>
      <w:r>
        <w:t xml:space="preserve"> and </w:t>
      </w:r>
      <w:r>
        <w:rPr>
          <w:rStyle w:val="CodeChar"/>
        </w:rPr>
        <w:t xml:space="preserve">source_id</w:t>
      </w:r>
      <w:r>
        <w:t xml:space="preserve">, so one job run can be followed from schedule to log line to trace to the dashboard's data-health panel.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What is collected</w:t>
            </w:r>
          </w:p>
        </w:tc>
        <w:tc>
          <w:tcPr>
            <w:tcW w:w="2340" w:type="dxa"/>
            <w:shd w:val="clear" w:color="auto" w:fill="F2F2F2"/>
          </w:tcPr>
          <w:p>
            <w:pPr/>
            <w:r>
              <w:t xml:space="preserve">Where it goes</w:t>
            </w:r>
          </w:p>
        </w:tc>
        <w:tc>
          <w:tcPr>
            <w:tcW w:w="2340" w:type="dxa"/>
            <w:shd w:val="clear" w:color="auto" w:fill="F2F2F2"/>
          </w:tcPr>
          <w:p>
            <w:pPr/>
            <w:r>
              <w:t xml:space="preserve">Kept</w:t>
            </w:r>
          </w:p>
        </w:tc>
      </w:tr>
      <w:tr>
        <w:tc>
          <w:tcPr>
            <w:tcW w:w="2340" w:type="dxa"/>
          </w:tcPr>
          <w:p>
            <w:pPr/>
            <w:r>
              <w:t xml:space="preserve">App logs</w:t>
            </w:r>
          </w:p>
        </w:tc>
        <w:tc>
          <w:tcPr>
            <w:tcW w:w="2340" w:type="dxa"/>
          </w:tcPr>
          <w:p>
            <w:pPr/>
            <w:r>
              <w:t xml:space="preserve">JSON lines with UTC time, job, run_id, source_id, outcome, rows, duration, X-Ray trace id, error type (AU-3, AU-8)</w:t>
            </w:r>
          </w:p>
        </w:tc>
        <w:tc>
          <w:tcPr>
            <w:tcW w:w="2340" w:type="dxa"/>
          </w:tcPr>
          <w:p>
            <w:pPr/>
            <w:r>
              <w:t xml:space="preserve">CloudWatch Logs, encrypted with the audit key; 3 saved Logs Insights queries</w:t>
            </w:r>
          </w:p>
        </w:tc>
        <w:tc>
          <w:tcPr>
            <w:tcW w:w="2340" w:type="dxa"/>
          </w:tcPr>
          <w:p>
            <w:pPr/>
            <w:r>
              <w:t xml:space="preserve">400 days</w:t>
            </w:r>
          </w:p>
        </w:tc>
      </w:tr>
      <w:tr>
        <w:tc>
          <w:tcPr>
            <w:tcW w:w="2340" w:type="dxa"/>
          </w:tcPr>
          <w:p>
            <w:pPr/>
            <w:r>
              <w:t xml:space="preserve">Metrics</w:t>
            </w:r>
          </w:p>
        </w:tc>
        <w:tc>
          <w:tcPr>
            <w:tcW w:w="2340" w:type="dxa"/>
          </w:tcPr>
          <w:p>
            <w:pPr/>
            <w:r>
              <w:t xml:space="preserve">6 custom: FailedRuns, RowsWritten, StaleP1Sources, StaleSources, FreshP1Ratio, RateLimitHeadroomPct (one </w:t>
            </w:r>
            <w:r>
              <w:rPr>
                <w:rStyle w:val="CodeChar"/>
              </w:rPr>
              <w:t xml:space="preserve">service</w:t>
            </w:r>
            <w:r>
              <w:t xml:space="preserve"> dimension only)</w:t>
            </w:r>
          </w:p>
        </w:tc>
        <w:tc>
          <w:tcPr>
            <w:tcW w:w="2340" w:type="dxa"/>
          </w:tcPr>
          <w:p>
            <w:pPr/>
            <w:r>
              <w:t xml:space="preserve">CloudWatch</w:t>
            </w:r>
          </w:p>
        </w:tc>
        <w:tc>
          <w:tcPr>
            <w:tcW w:w="2340" w:type="dxa"/>
          </w:tcPr>
          <w:p>
            <w:pPr/>
            <w:r>
              <w:t xml:space="preserve">15 months</w:t>
            </w:r>
          </w:p>
        </w:tc>
      </w:tr>
      <w:tr>
        <w:tc>
          <w:tcPr>
            <w:tcW w:w="2340" w:type="dxa"/>
          </w:tcPr>
          <w:p>
            <w:pPr/>
            <w:r>
              <w:t xml:space="preserve">Traces</w:t>
            </w:r>
          </w:p>
        </w:tc>
        <w:tc>
          <w:tcPr>
            <w:tcW w:w="2340" w:type="dxa"/>
          </w:tcPr>
          <w:p>
            <w:pPr/>
            <w:r>
              <w:t xml:space="preserve">One X-Ray segment per job, one subsegment per source call</w:t>
            </w:r>
          </w:p>
        </w:tc>
        <w:tc>
          <w:tcPr>
            <w:tcW w:w="2340" w:type="dxa"/>
          </w:tcPr>
          <w:p>
            <w:pPr/>
            <w:r>
              <w:t xml:space="preserve">X-Ray (within free 100,000 traces)</w:t>
            </w:r>
          </w:p>
        </w:tc>
        <w:tc>
          <w:tcPr>
            <w:tcW w:w="2340" w:type="dxa"/>
          </w:tcPr>
          <w:p>
            <w:pPr/>
            <w:r>
              <w:t xml:space="preserve">30 days</w:t>
            </w:r>
          </w:p>
        </w:tc>
      </w:tr>
      <w:tr>
        <w:tc>
          <w:tcPr>
            <w:tcW w:w="2340" w:type="dxa"/>
          </w:tcPr>
          <w:p>
            <w:pPr/>
            <w:r>
              <w:t xml:space="preserve">External check</w:t>
            </w:r>
          </w:p>
        </w:tc>
        <w:tc>
          <w:tcPr>
            <w:tcW w:w="2340" w:type="dxa"/>
          </w:tcPr>
          <w:p>
            <w:pPr/>
            <w:r>
              <w:t xml:space="preserve">Synthetics canary every 15 min fetches </w:t>
            </w:r>
            <w:r>
              <w:rPr>
                <w:rStyle w:val="CodeChar"/>
              </w:rPr>
              <w:t xml:space="preserve">health.json</w:t>
            </w:r>
            <w:r>
              <w:t xml:space="preserve"> through CloudFront: HTTP 200, data under 90 min old in market hours, no stale P1 source</w:t>
            </w:r>
          </w:p>
        </w:tc>
        <w:tc>
          <w:tcPr>
            <w:tcW w:w="2340" w:type="dxa"/>
          </w:tcPr>
          <w:p>
            <w:pPr/>
            <w:r>
              <w:t xml:space="preserve">CloudWatch Synthetics</w:t>
            </w:r>
          </w:p>
        </w:tc>
        <w:tc>
          <w:tcPr>
            <w:tcW w:w="2340" w:type="dxa"/>
          </w:tcPr>
          <w:p>
            <w:pPr/>
            <w:r>
              <w:t xml:space="preserve">Artifacts 31 days</w:t>
            </w:r>
          </w:p>
        </w:tc>
      </w:tr>
      <w:tr>
        <w:tc>
          <w:tcPr>
            <w:tcW w:w="2340" w:type="dxa"/>
          </w:tcPr>
          <w:p>
            <w:pPr/>
            <w:r>
              <w:t xml:space="preserve">API audit trail</w:t>
            </w:r>
          </w:p>
        </w:tc>
        <w:tc>
          <w:tcPr>
            <w:tcW w:w="2340" w:type="dxa"/>
          </w:tcPr>
          <w:p>
            <w:pPr/>
            <w:r>
              <w:t xml:space="preserve">All management events, lake object reads and writes, Lambda invocations; integrity-validated log files; Insights on unusual call or error rates</w:t>
            </w:r>
          </w:p>
        </w:tc>
        <w:tc>
          <w:tcPr>
            <w:tcW w:w="2340" w:type="dxa"/>
          </w:tcPr>
          <w:p>
            <w:pPr/>
            <w:r>
              <w:t xml:space="preserve">CloudTrail → Object-Locked S3</w:t>
            </w:r>
          </w:p>
        </w:tc>
        <w:tc>
          <w:tcPr>
            <w:tcW w:w="2340" w:type="dxa"/>
          </w:tcPr>
          <w:p>
            <w:pPr/>
            <w:r>
              <w:t xml:space="preserve">30 months</w:t>
            </w:r>
          </w:p>
        </w:tc>
      </w:tr>
      <w:tr>
        <w:tc>
          <w:tcPr>
            <w:tcW w:w="2340" w:type="dxa"/>
          </w:tcPr>
          <w:p>
            <w:pPr/>
            <w:r>
              <w:t xml:space="preserve">Configuration history</w:t>
            </w:r>
          </w:p>
        </w:tc>
        <w:tc>
          <w:tcPr>
            <w:tcW w:w="2340" w:type="dxa"/>
          </w:tcPr>
          <w:p>
            <w:pPr/>
            <w:r>
              <w:t xml:space="preserve">Every resource change, continuously</w:t>
            </w:r>
          </w:p>
        </w:tc>
        <w:tc>
          <w:tcPr>
            <w:tcW w:w="2340" w:type="dxa"/>
          </w:tcPr>
          <w:p>
            <w:pPr/>
            <w:r>
              <w:t xml:space="preserve">AWS Config → audit bucket</w:t>
            </w:r>
          </w:p>
        </w:tc>
        <w:tc>
          <w:tcPr>
            <w:tcW w:w="2340" w:type="dxa"/>
          </w:tcPr>
          <w:p>
            <w:pPr/>
            <w:r>
              <w:t xml:space="preserve">30 months</w:t>
            </w:r>
          </w:p>
        </w:tc>
      </w:tr>
      <w:tr>
        <w:tc>
          <w:tcPr>
            <w:tcW w:w="2340" w:type="dxa"/>
          </w:tcPr>
          <w:p>
            <w:pPr/>
            <w:r>
              <w:t xml:space="preserve">Threats and vulnerabilities</w:t>
            </w:r>
          </w:p>
        </w:tc>
        <w:tc>
          <w:tcPr>
            <w:tcW w:w="2340" w:type="dxa"/>
          </w:tcPr>
          <w:p>
            <w:pPr/>
            <w:r>
              <w:t xml:space="preserve">GuardDuty findings (incl. malware scans of </w:t>
            </w:r>
            <w:r>
              <w:rPr>
                <w:rStyle w:val="CodeChar"/>
              </w:rPr>
              <w:t xml:space="preserve">raw/</w:t>
            </w:r>
            <w:r>
              <w:t xml:space="preserve">), Inspector CVEs, Security Hub NIST 800-53 control results</w:t>
            </w:r>
          </w:p>
        </w:tc>
        <w:tc>
          <w:tcPr>
            <w:tcW w:w="2340" w:type="dxa"/>
          </w:tcPr>
          <w:p>
            <w:pPr/>
            <w:r>
              <w:t xml:space="preserve">Security Hub</w:t>
            </w:r>
          </w:p>
        </w:tc>
        <w:tc>
          <w:tcPr>
            <w:tcW w:w="2340" w:type="dxa"/>
          </w:tcPr>
          <w:p>
            <w:pPr/>
            <w:r>
              <w:t xml:space="preserve">90 days of findings</w:t>
            </w:r>
          </w:p>
        </w:tc>
      </w:tr>
    </w:tbl>
    <w:p>
      <w:pPr/>
      <w:r>
        <w:t xml:space="preserve">Alerts go to two email topics: </w:t>
      </w:r>
      <w:r>
        <w:rPr>
          <w:b/>
        </w:rPr>
        <w:t xml:space="preserve">ops</w:t>
      </w:r>
      <w:r>
        <w:t xml:space="preserve"> for reliability and </w:t>
      </w:r>
      <w:r>
        <w:rPr>
          <w:b/>
        </w:rPr>
        <w:t xml:space="preserve">security</w:t>
      </w:r>
      <w:r>
        <w:t xml:space="preserve"> for incident response.</w:t>
      </w:r>
    </w:p>
    <w:p>
      <w:pPr>
        <w:pStyle w:val="ListParagraph"/>
        <w:numPr>
          <w:ilvl w:val="0"/>
          <w:numId w:val="12"/>
        </w:numPr>
      </w:pPr>
      <w:r>
        <w:rPr>
          <w:b/>
        </w:rPr>
        <w:t xml:space="preserve">Ops (8–11 CloudWatch alarms):</w:t>
      </w:r>
      <w:r>
        <w:t xml:space="preserve"> Lambda errors, throttles, dead-letter queue not empty, failed runs, stale P1 source, quota headroom under 20%, freshness SLO burn, canary failing, availability SLO fast and slow burn, CloudFront 5xx.</w:t>
      </w:r>
    </w:p>
    <w:p>
      <w:pPr>
        <w:pStyle w:val="ListParagraph"/>
        <w:numPr>
          <w:ilvl w:val="0"/>
          <w:numId w:val="12"/>
        </w:numPr>
      </w:pPr>
      <w:r>
        <w:rPr>
          <w:b/>
        </w:rPr>
        <w:t xml:space="preserve">Security (8 EventBridge rules, free):</w:t>
      </w:r>
      <w:r>
        <w:t xml:space="preserve"> GuardDuty findings rated medium or higher, high or critical Security Hub and Inspector findings, attempts to stop or weaken logging, monitoring or keys, S3 exposure changes, IAM changes, root or no-MFA sign-ins, and any API key change.</w:t>
      </w:r>
    </w:p>
    <w:p>
      <w:pPr>
        <w:pStyle w:val="ListParagraph"/>
        <w:numPr>
          <w:ilvl w:val="0"/>
          <w:numId w:val="12"/>
        </w:numPr>
      </w:pPr>
      <w:r>
        <w:rPr>
          <w:b/>
        </w:rPr>
        <w:t xml:space="preserve">AWS Health events</w:t>
      </w:r>
      <w:r>
        <w:t xml:space="preserve"> go to the ops topic.</w:t>
      </w:r>
    </w:p>
    <w:p>
      <w:pPr>
        <w:pStyle w:val="ListParagraph"/>
        <w:numPr>
          <w:ilvl w:val="0"/>
          <w:numId w:val="12"/>
        </w:numPr>
      </w:pPr>
      <w:r>
        <w:rPr>
          <w:b/>
        </w:rPr>
        <w:t xml:space="preserve">Dashboards:</w:t>
      </w:r>
      <w:r>
        <w:t xml:space="preserve"> two CloudWatch dashboards, ops and SLO. Data health per source stays in the app's own panel.</w:t>
      </w:r>
    </w:p>
    <w:p>
      <w:pPr>
        <w:pStyle w:val="Heading3"/>
      </w:pPr>
      <w:r>
        <w:t xml:space="preserve">Reliability</w:t>
      </w:r>
    </w:p>
    <w:p>
      <w:pPr/>
      <w:r>
        <w:t xml:space="preserve">Three service-level objectives (SLOs) set the alert thresholds, and burn-rate alarms fire before a month's error budget runs out.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SLO</w:t>
            </w:r>
          </w:p>
        </w:tc>
        <w:tc>
          <w:tcPr>
            <w:tcW w:w="1872" w:type="dxa"/>
            <w:shd w:val="clear" w:color="auto" w:fill="F2F2F2"/>
          </w:tcPr>
          <w:p>
            <w:pPr/>
            <w:r>
              <w:t xml:space="preserve">Target (30 days)</w:t>
            </w:r>
          </w:p>
        </w:tc>
        <w:tc>
          <w:tcPr>
            <w:tcW w:w="1872" w:type="dxa"/>
            <w:shd w:val="clear" w:color="auto" w:fill="F2F2F2"/>
          </w:tcPr>
          <w:p>
            <w:pPr/>
            <w:r>
              <w:t xml:space="preserve">Measured by</w:t>
            </w:r>
          </w:p>
        </w:tc>
        <w:tc>
          <w:tcPr>
            <w:tcW w:w="1872" w:type="dxa"/>
            <w:shd w:val="clear" w:color="auto" w:fill="F2F2F2"/>
          </w:tcPr>
          <w:p>
            <w:pPr/>
            <w:r>
              <w:t xml:space="preserve">Error budget</w:t>
            </w:r>
          </w:p>
        </w:tc>
        <w:tc>
          <w:tcPr>
            <w:tcW w:w="1872" w:type="dxa"/>
            <w:shd w:val="clear" w:color="auto" w:fill="F2F2F2"/>
          </w:tcPr>
          <w:p>
            <w:pPr/>
            <w:r>
              <w:t xml:space="preserve">Alarms</w:t>
            </w:r>
          </w:p>
        </w:tc>
      </w:tr>
      <w:tr>
        <w:tc>
          <w:tcPr>
            <w:tcW w:w="1872" w:type="dxa"/>
          </w:tcPr>
          <w:p>
            <w:pPr/>
            <w:r>
              <w:t xml:space="preserve">Availability</w:t>
            </w:r>
          </w:p>
        </w:tc>
        <w:tc>
          <w:tcPr>
            <w:tcW w:w="1872" w:type="dxa"/>
          </w:tcPr>
          <w:p>
            <w:pPr/>
            <w:r>
              <w:t xml:space="preserve">99.5% of health checks pass</w:t>
            </w:r>
          </w:p>
        </w:tc>
        <w:tc>
          <w:tcPr>
            <w:tcW w:w="1872" w:type="dxa"/>
          </w:tcPr>
          <w:p>
            <w:pPr/>
            <w:r>
              <w:t xml:space="preserve">Synthetics canary success %</w:t>
            </w:r>
          </w:p>
        </w:tc>
        <w:tc>
          <w:tcPr>
            <w:tcW w:w="1872" w:type="dxa"/>
          </w:tcPr>
          <w:p>
            <w:pPr/>
            <w:r>
              <w:t xml:space="preserve">~3.6 hours</w:t>
            </w:r>
          </w:p>
        </w:tc>
        <w:tc>
          <w:tcPr>
            <w:tcW w:w="1872" w:type="dxa"/>
          </w:tcPr>
          <w:p>
            <w:pPr/>
            <w:r>
              <w:t xml:space="preserve">Fast burn: under 92.8% over 1 h. Slow burn: under 97% over 6 h</w:t>
            </w:r>
          </w:p>
        </w:tc>
      </w:tr>
      <w:tr>
        <w:tc>
          <w:tcPr>
            <w:tcW w:w="1872" w:type="dxa"/>
          </w:tcPr>
          <w:p>
            <w:pPr/>
            <w:r>
              <w:t xml:space="preserve">Freshness</w:t>
            </w:r>
          </w:p>
        </w:tc>
        <w:tc>
          <w:tcPr>
            <w:tcW w:w="1872" w:type="dxa"/>
          </w:tcPr>
          <w:p>
            <w:pPr/>
            <w:r>
              <w:t xml:space="preserve">99% of P1 sources within max age, business hours</w:t>
            </w:r>
          </w:p>
        </w:tc>
        <w:tc>
          <w:tcPr>
            <w:tcW w:w="1872" w:type="dxa"/>
          </w:tcPr>
          <w:p>
            <w:pPr/>
            <w:r>
              <w:rPr>
                <w:rStyle w:val="CodeChar"/>
              </w:rPr>
              <w:t xml:space="preserve">FreshP1Ratio</w:t>
            </w:r>
            <w:r>
              <w:t xml:space="preserve"> from the build job</w:t>
            </w:r>
          </w:p>
        </w:tc>
        <w:tc>
          <w:tcPr>
            <w:tcW w:w="1872" w:type="dxa"/>
          </w:tcPr>
          <w:p>
            <w:pPr/>
            <w:r>
              <w:t xml:space="preserve">~1% of P1 checks</w:t>
            </w:r>
          </w:p>
        </w:tc>
        <w:tc>
          <w:tcPr>
            <w:tcW w:w="1872" w:type="dxa"/>
          </w:tcPr>
          <w:p>
            <w:pPr/>
            <w:r>
              <w:t xml:space="preserve">Slow burn: under 94% over 6 h</w:t>
            </w:r>
          </w:p>
        </w:tc>
      </w:tr>
      <w:tr>
        <w:tc>
          <w:tcPr>
            <w:tcW w:w="1872" w:type="dxa"/>
          </w:tcPr>
          <w:p>
            <w:pPr/>
            <w:r>
              <w:t xml:space="preserve">Release capture</w:t>
            </w:r>
          </w:p>
        </w:tc>
        <w:tc>
          <w:tcPr>
            <w:tcW w:w="1872" w:type="dxa"/>
          </w:tcPr>
          <w:p>
            <w:pPr/>
            <w:r>
              <w:t xml:space="preserve">Every CPI, PCE and FOMC release stored within 15 min</w:t>
            </w:r>
          </w:p>
        </w:tc>
        <w:tc>
          <w:tcPr>
            <w:tcW w:w="1872" w:type="dxa"/>
          </w:tcPr>
          <w:p>
            <w:pPr/>
            <w:r>
              <w:rPr>
                <w:rStyle w:val="CodeChar"/>
              </w:rPr>
              <w:t xml:space="preserve">releases</w:t>
            </w:r>
            <w:r>
              <w:t xml:space="preserve"> table vs D1 calendar</w:t>
            </w:r>
          </w:p>
        </w:tc>
        <w:tc>
          <w:tcPr>
            <w:tcW w:w="1872" w:type="dxa"/>
          </w:tcPr>
          <w:p>
            <w:pPr/>
            <w:r>
              <w:t xml:space="preserve">Zero</w:t>
            </w:r>
          </w:p>
        </w:tc>
        <w:tc>
          <w:tcPr>
            <w:tcW w:w="1872" w:type="dxa"/>
          </w:tcPr>
          <w:p>
            <w:pPr/>
            <w:r>
              <w:t xml:space="preserve">Each miss gets a written review</w:t>
            </w:r>
          </w:p>
        </w:tc>
      </w:tr>
    </w:tbl>
    <w:p>
      <w:pPr/>
      <w:r>
        <w:t xml:space="preserve">Recovery targets (CP-2, CP-9, CP-10):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Failure</w:t>
            </w:r>
          </w:p>
        </w:tc>
        <w:tc>
          <w:tcPr>
            <w:tcW w:w="2340" w:type="dxa"/>
            <w:shd w:val="clear" w:color="auto" w:fill="F2F2F2"/>
          </w:tcPr>
          <w:p>
            <w:pPr/>
            <w:r>
              <w:t xml:space="preserve">Recovery point (RPO)</w:t>
            </w:r>
          </w:p>
        </w:tc>
        <w:tc>
          <w:tcPr>
            <w:tcW w:w="2340" w:type="dxa"/>
            <w:shd w:val="clear" w:color="auto" w:fill="F2F2F2"/>
          </w:tcPr>
          <w:p>
            <w:pPr/>
            <w:r>
              <w:t xml:space="preserve">Recovery time (RTO)</w:t>
            </w:r>
          </w:p>
        </w:tc>
        <w:tc>
          <w:tcPr>
            <w:tcW w:w="2340" w:type="dxa"/>
            <w:shd w:val="clear" w:color="auto" w:fill="F2F2F2"/>
          </w:tcPr>
          <w:p>
            <w:pPr/>
            <w:r>
              <w:t xml:space="preserve">How</w:t>
            </w:r>
          </w:p>
        </w:tc>
      </w:tr>
      <w:tr>
        <w:tc>
          <w:tcPr>
            <w:tcW w:w="2340" w:type="dxa"/>
          </w:tcPr>
          <w:p>
            <w:pPr/>
            <w:r>
              <w:t xml:space="preserve">Bad data or deleted file</w:t>
            </w:r>
          </w:p>
        </w:tc>
        <w:tc>
          <w:tcPr>
            <w:tcW w:w="2340" w:type="dxa"/>
          </w:tcPr>
          <w:p>
            <w:pPr/>
            <w:r>
              <w:t xml:space="preserve">0 (every version kept 90 days)</w:t>
            </w:r>
          </w:p>
        </w:tc>
        <w:tc>
          <w:tcPr>
            <w:tcW w:w="2340" w:type="dxa"/>
          </w:tcPr>
          <w:p>
            <w:pPr/>
            <w:r>
              <w:t xml:space="preserve">30 min</w:t>
            </w:r>
          </w:p>
        </w:tc>
        <w:tc>
          <w:tcPr>
            <w:tcW w:w="2340" w:type="dxa"/>
          </w:tcPr>
          <w:p>
            <w:pPr/>
            <w:r>
              <w:t xml:space="preserve">Restore the prior S3 object version, rebuild serving files</w:t>
            </w:r>
          </w:p>
        </w:tc>
      </w:tr>
      <w:tr>
        <w:tc>
          <w:tcPr>
            <w:tcW w:w="2340" w:type="dxa"/>
          </w:tcPr>
          <w:p>
            <w:pPr/>
            <w:r>
              <w:t xml:space="preserve">Source outage</w:t>
            </w:r>
          </w:p>
        </w:tc>
        <w:tc>
          <w:tcPr>
            <w:tcW w:w="2340" w:type="dxa"/>
          </w:tcPr>
          <w:p>
            <w:pPr/>
            <w:r>
              <w:t xml:space="preserve">0 (watermark catch-up)</w:t>
            </w:r>
          </w:p>
        </w:tc>
        <w:tc>
          <w:tcPr>
            <w:tcW w:w="2340" w:type="dxa"/>
          </w:tcPr>
          <w:p>
            <w:pPr/>
            <w:r>
              <w:t xml:space="preserve">Next run</w:t>
            </w:r>
          </w:p>
        </w:tc>
        <w:tc>
          <w:tcPr>
            <w:tcW w:w="2340" w:type="dxa"/>
          </w:tcPr>
          <w:p>
            <w:pPr/>
            <w:r>
              <w:t xml:space="preserve">Failover chain to backup source; catch-up when the primary returns</w:t>
            </w:r>
          </w:p>
        </w:tc>
      </w:tr>
      <w:tr>
        <w:tc>
          <w:tcPr>
            <w:tcW w:w="2340" w:type="dxa"/>
          </w:tcPr>
          <w:p>
            <w:pPr/>
            <w:r>
              <w:t xml:space="preserve">Bad deploy</w:t>
            </w:r>
          </w:p>
        </w:tc>
        <w:tc>
          <w:tcPr>
            <w:tcW w:w="2340" w:type="dxa"/>
          </w:tcPr>
          <w:p>
            <w:pPr/>
            <w:r>
              <w:t xml:space="preserve">0</w:t>
            </w:r>
          </w:p>
        </w:tc>
        <w:tc>
          <w:tcPr>
            <w:tcW w:w="2340" w:type="dxa"/>
          </w:tcPr>
          <w:p>
            <w:pPr/>
            <w:r>
              <w:t xml:space="preserve">10 min</w:t>
            </w:r>
          </w:p>
        </w:tc>
        <w:tc>
          <w:tcPr>
            <w:tcW w:w="2340" w:type="dxa"/>
          </w:tcPr>
          <w:p>
            <w:pPr/>
            <w:r>
              <w:t xml:space="preserve">Re-point Lambda aliases to the previous immutable image tag</w:t>
            </w:r>
          </w:p>
        </w:tc>
      </w:tr>
      <w:tr>
        <w:tc>
          <w:tcPr>
            <w:tcW w:w="2340" w:type="dxa"/>
          </w:tcPr>
          <w:p>
            <w:pPr/>
            <w:r>
              <w:t xml:space="preserve">us-east-1 regional outage</w:t>
            </w:r>
          </w:p>
        </w:tc>
        <w:tc>
          <w:tcPr>
            <w:tcW w:w="2340" w:type="dxa"/>
          </w:tcPr>
          <w:p>
            <w:pPr/>
            <w:r>
              <w:t xml:space="preserve">Minutes (replication lag)</w:t>
            </w:r>
          </w:p>
        </w:tc>
        <w:tc>
          <w:tcPr>
            <w:tcW w:w="2340" w:type="dxa"/>
          </w:tcPr>
          <w:p>
            <w:pPr/>
            <w:r>
              <w:t xml:space="preserve">4 h</w:t>
            </w:r>
          </w:p>
        </w:tc>
        <w:tc>
          <w:tcPr>
            <w:tcW w:w="2340" w:type="dxa"/>
          </w:tcPr>
          <w:p>
            <w:pPr/>
            <w:r>
              <w:rPr>
                <w:rStyle w:val="CodeChar"/>
              </w:rPr>
              <w:t xml:space="preserve">terraform apply</w:t>
            </w:r>
            <w:r>
              <w:t xml:space="preserve"> with region set to us-west-2, using the replica bucket and replica key</w:t>
            </w:r>
          </w:p>
        </w:tc>
      </w:tr>
    </w:tbl>
    <w:p>
      <w:pPr/>
      <w:r>
        <w:t xml:space="preserve">Practices built into the jobs:</w:t>
      </w:r>
    </w:p>
    <w:p>
      <w:pPr>
        <w:pStyle w:val="ListParagraph"/>
        <w:numPr>
          <w:ilvl w:val="0"/>
          <w:numId w:val="13"/>
        </w:numPr>
      </w:pPr>
      <w:r>
        <w:rPr>
          <w:b/>
        </w:rPr>
        <w:t xml:space="preserve">Retries with backoff and jitter</w:t>
      </w:r>
      <w:r>
        <w:t xml:space="preserve">, then 2 Lambda retries, then the dead-letter queue.</w:t>
      </w:r>
    </w:p>
    <w:p>
      <w:pPr>
        <w:pStyle w:val="ListParagraph"/>
        <w:numPr>
          <w:ilvl w:val="0"/>
          <w:numId w:val="13"/>
        </w:numPr>
      </w:pPr>
      <w:r>
        <w:rPr>
          <w:b/>
        </w:rPr>
        <w:t xml:space="preserve">Bulkheads:</w:t>
      </w:r>
      <w:r>
        <w:t xml:space="preserve"> a failing source is logged and counted, and the job carries on with its other sources.</w:t>
      </w:r>
    </w:p>
    <w:p>
      <w:pPr>
        <w:pStyle w:val="ListParagraph"/>
        <w:numPr>
          <w:ilvl w:val="0"/>
          <w:numId w:val="13"/>
        </w:numPr>
      </w:pPr>
      <w:r>
        <w:rPr>
          <w:b/>
        </w:rPr>
        <w:t xml:space="preserve">Idempotent writes and watermarks</w:t>
      </w:r>
      <w:r>
        <w:t xml:space="preserve">, so replays and catch-ups are safe.</w:t>
      </w:r>
    </w:p>
    <w:p>
      <w:pPr>
        <w:pStyle w:val="ListParagraph"/>
        <w:numPr>
          <w:ilvl w:val="0"/>
          <w:numId w:val="13"/>
        </w:numPr>
      </w:pPr>
      <w:r>
        <w:rPr>
          <w:b/>
        </w:rPr>
        <w:t xml:space="preserve">Reserved concurrency</w:t>
      </w:r>
      <w:r>
        <w:t xml:space="preserve"> on every function caps runaway loops and cost.</w:t>
      </w:r>
    </w:p>
    <w:p>
      <w:pPr>
        <w:pStyle w:val="ListParagraph"/>
        <w:numPr>
          <w:ilvl w:val="0"/>
          <w:numId w:val="13"/>
        </w:numPr>
      </w:pPr>
      <w:r>
        <w:rPr>
          <w:b/>
        </w:rPr>
        <w:t xml:space="preserve">Timeouts</w:t>
      </w:r>
      <w:r>
        <w:t xml:space="preserve"> on every HTTP call (10 s connect, 30 s read).</w:t>
      </w:r>
    </w:p>
    <w:p>
      <w:pPr/>
      <w:r>
        <w:t xml:space="preserve">Testing (CP-4):</w:t>
      </w:r>
    </w:p>
    <w:p>
      <w:pPr>
        <w:pStyle w:val="ListParagraph"/>
        <w:numPr>
          <w:ilvl w:val="0"/>
          <w:numId w:val="14"/>
        </w:numPr>
      </w:pPr>
      <w:r>
        <w:rPr>
          <w:b/>
        </w:rPr>
        <w:t xml:space="preserve">Quarterly game day:</w:t>
      </w:r>
      <w:r>
        <w:t xml:space="preserve"> disable a primary source, delete a curated file and restore it, redrive the dead-letter queue.</w:t>
      </w:r>
    </w:p>
    <w:p>
      <w:pPr>
        <w:pStyle w:val="ListParagraph"/>
        <w:numPr>
          <w:ilvl w:val="0"/>
          <w:numId w:val="14"/>
        </w:numPr>
      </w:pPr>
      <w:r>
        <w:rPr>
          <w:b/>
        </w:rPr>
        <w:t xml:space="preserve">Yearly regional drill:</w:t>
      </w:r>
      <w:r>
        <w:t xml:space="preserve"> rebuild from the replica in us-west-2.</w:t>
      </w:r>
    </w:p>
    <w:p>
      <w:pPr>
        <w:pStyle w:val="ListParagraph"/>
        <w:numPr>
          <w:ilvl w:val="0"/>
          <w:numId w:val="14"/>
        </w:numPr>
      </w:pPr>
      <w:r>
        <w:t xml:space="preserve">Each drill and each incident ends with a short written review, kept in the project.</w:t>
      </w:r>
    </w:p>
    <w:p>
      <w:pPr>
        <w:pStyle w:val="Heading3"/>
      </w:pPr>
      <w:r>
        <w:t xml:space="preserve">API key rotation</w:t>
      </w:r>
    </w:p>
    <w:p>
      <w:pPr/>
      <w:r>
        <w:t xml:space="preserve">Twelve provider credentials are rotated on a fixed schedule, and a daily check emails a reminder before each one is due (IA-5). The source of truth is each key's last-changed date in SSM; the Status column below is for your own tracking.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Key (SSM name)</w:t>
            </w:r>
          </w:p>
        </w:tc>
        <w:tc>
          <w:tcPr>
            <w:tcW w:w="1560" w:type="dxa"/>
            <w:shd w:val="clear" w:color="auto" w:fill="F2F2F2"/>
          </w:tcPr>
          <w:p>
            <w:pPr/>
            <w:r>
              <w:t xml:space="preserve">Provider</w:t>
            </w:r>
          </w:p>
        </w:tc>
        <w:tc>
          <w:tcPr>
            <w:tcW w:w="1560" w:type="dxa"/>
            <w:shd w:val="clear" w:color="auto" w:fill="F2F2F2"/>
          </w:tcPr>
          <w:p>
            <w:pPr/>
            <w:r>
              <w:t xml:space="preserve">Used by</w:t>
            </w:r>
          </w:p>
        </w:tc>
        <w:tc>
          <w:tcPr>
            <w:tcW w:w="1560" w:type="dxa"/>
            <w:shd w:val="clear" w:color="auto" w:fill="F2F2F2"/>
          </w:tcPr>
          <w:p>
            <w:pPr/>
            <w:r>
              <w:t xml:space="preserve">Rotate every</w:t>
            </w:r>
          </w:p>
        </w:tc>
        <w:tc>
          <w:tcPr>
            <w:tcW w:w="1560" w:type="dxa"/>
            <w:shd w:val="clear" w:color="auto" w:fill="F2F2F2"/>
          </w:tcPr>
          <w:p>
            <w:pPr/>
            <w:r>
              <w:t xml:space="preserve">Why</w:t>
            </w:r>
          </w:p>
        </w:tc>
        <w:tc>
          <w:tcPr>
            <w:tcW w:w="1560" w:type="dxa"/>
            <w:shd w:val="clear" w:color="auto" w:fill="F2F2F2"/>
          </w:tcPr>
          <w:p>
            <w:pPr/>
            <w:r>
              <w:t xml:space="preserve">Status</w:t>
            </w:r>
          </w:p>
        </w:tc>
      </w:tr>
      <w:tr>
        <w:tc>
          <w:tcPr>
            <w:tcW w:w="1560" w:type="dxa"/>
          </w:tcPr>
          <w:p>
            <w:pPr/>
            <w:r>
              <w:rPr>
                <w:rStyle w:val="CodeChar"/>
              </w:rPr>
              <w:t xml:space="preserve">sam-gov</w:t>
            </w:r>
          </w:p>
        </w:tc>
        <w:tc>
          <w:tcPr>
            <w:tcW w:w="1560" w:type="dxa"/>
          </w:tcPr>
          <w:p>
            <w:pPr/>
            <w:hyperlink r:id="rId25" w:history="1">
              <w:r>
                <w:rPr>
                  <w:rStyle w:val="Hyperlink"/>
                </w:rPr>
                <w:t xml:space="preserve">SAM.gov</w:t>
              </w:r>
            </w:hyperlink>
          </w:p>
        </w:tc>
        <w:tc>
          <w:tcPr>
            <w:tcW w:w="1560" w:type="dxa"/>
          </w:tcPr>
          <w:p>
            <w:pPr/>
            <w:r>
              <w:t xml:space="preserve">DS-68, DS-69</w:t>
            </w:r>
          </w:p>
        </w:tc>
        <w:tc>
          <w:tcPr>
            <w:tcW w:w="1560" w:type="dxa"/>
          </w:tcPr>
          <w:p>
            <w:pPr/>
            <w:r>
              <w:t xml:space="preserve">90 days</w:t>
            </w:r>
          </w:p>
        </w:tc>
        <w:tc>
          <w:tcPr>
            <w:tcW w:w="1560" w:type="dxa"/>
          </w:tcPr>
          <w:p>
            <w:pPr/>
            <w:r>
              <w:t xml:space="preserve">Provider expires personal keys every 90 days</w:t>
            </w:r>
          </w:p>
        </w:tc>
        <w:tc>
          <w:tcPr>
            <w:tcW w:w="1560" w:type="dxa"/>
          </w:tcPr>
          <w:p>
            <w:pPr/>
            <w:r>
              <w:t xml:space="preserve">Not stored yet</w:t>
            </w:r>
          </w:p>
        </w:tc>
      </w:tr>
      <w:tr>
        <w:tc>
          <w:tcPr>
            <w:tcW w:w="1560" w:type="dxa"/>
          </w:tcPr>
          <w:p>
            <w:pPr/>
            <w:r>
              <w:rPr>
                <w:rStyle w:val="CodeChar"/>
              </w:rPr>
              <w:t xml:space="preserve">alpaca-key-id</w:t>
            </w:r>
          </w:p>
        </w:tc>
        <w:tc>
          <w:tcPr>
            <w:tcW w:w="1560" w:type="dxa"/>
          </w:tcPr>
          <w:p>
            <w:pPr/>
            <w:hyperlink r:id="rId26" w:history="1">
              <w:r>
                <w:rPr>
                  <w:rStyle w:val="Hyperlink"/>
                </w:rPr>
                <w:t xml:space="preserve">Alpaca</w:t>
              </w:r>
            </w:hyperlink>
          </w:p>
        </w:tc>
        <w:tc>
          <w:tcPr>
            <w:tcW w:w="1560" w:type="dxa"/>
          </w:tcPr>
          <w:p>
            <w:pPr/>
            <w:r>
              <w:t xml:space="preserve">DS-02, DS-82</w:t>
            </w:r>
          </w:p>
        </w:tc>
        <w:tc>
          <w:tcPr>
            <w:tcW w:w="1560" w:type="dxa"/>
          </w:tcPr>
          <w:p>
            <w:pPr/>
            <w:r>
              <w:t xml:space="preserve">180 days</w:t>
            </w:r>
          </w:p>
        </w:tc>
        <w:tc>
          <w:tcPr>
            <w:tcW w:w="1560" w:type="dxa"/>
          </w:tcPr>
          <w:p>
            <w:pPr/>
            <w:r>
              <w:t xml:space="preserve">Account-level key; use paper-trading keys only</w:t>
            </w:r>
          </w:p>
        </w:tc>
        <w:tc>
          <w:tcPr>
            <w:tcW w:w="1560" w:type="dxa"/>
          </w:tcPr>
          <w:p>
            <w:pPr/>
            <w:r>
              <w:t xml:space="preserve">Not stored yet</w:t>
            </w:r>
          </w:p>
        </w:tc>
      </w:tr>
      <w:tr>
        <w:tc>
          <w:tcPr>
            <w:tcW w:w="1560" w:type="dxa"/>
          </w:tcPr>
          <w:p>
            <w:pPr/>
            <w:r>
              <w:rPr>
                <w:rStyle w:val="CodeChar"/>
              </w:rPr>
              <w:t xml:space="preserve">alpaca-secret-key</w:t>
            </w:r>
          </w:p>
        </w:tc>
        <w:tc>
          <w:tcPr>
            <w:tcW w:w="1560" w:type="dxa"/>
          </w:tcPr>
          <w:p>
            <w:pPr/>
            <w:hyperlink r:id="rId26" w:history="1">
              <w:r>
                <w:rPr>
                  <w:rStyle w:val="Hyperlink"/>
                </w:rPr>
                <w:t xml:space="preserve">Alpaca</w:t>
              </w:r>
            </w:hyperlink>
          </w:p>
        </w:tc>
        <w:tc>
          <w:tcPr>
            <w:tcW w:w="1560" w:type="dxa"/>
          </w:tcPr>
          <w:p>
            <w:pPr/>
            <w:r>
              <w:t xml:space="preserve">DS-02, DS-82</w:t>
            </w:r>
          </w:p>
        </w:tc>
        <w:tc>
          <w:tcPr>
            <w:tcW w:w="1560" w:type="dxa"/>
          </w:tcPr>
          <w:p>
            <w:pPr/>
            <w:r>
              <w:t xml:space="preserve">180 days</w:t>
            </w:r>
          </w:p>
        </w:tc>
        <w:tc>
          <w:tcPr>
            <w:tcW w:w="1560" w:type="dxa"/>
          </w:tcPr>
          <w:p>
            <w:pPr/>
            <w:r>
              <w:t xml:space="preserve">Rotated together with the key ID</w:t>
            </w:r>
          </w:p>
        </w:tc>
        <w:tc>
          <w:tcPr>
            <w:tcW w:w="1560" w:type="dxa"/>
          </w:tcPr>
          <w:p>
            <w:pPr/>
            <w:r>
              <w:t xml:space="preserve">Not stored yet</w:t>
            </w:r>
          </w:p>
        </w:tc>
      </w:tr>
      <w:tr>
        <w:tc>
          <w:tcPr>
            <w:tcW w:w="1560" w:type="dxa"/>
          </w:tcPr>
          <w:p>
            <w:pPr/>
            <w:r>
              <w:rPr>
                <w:rStyle w:val="CodeChar"/>
              </w:rPr>
              <w:t xml:space="preserve">bls</w:t>
            </w:r>
          </w:p>
        </w:tc>
        <w:tc>
          <w:tcPr>
            <w:tcW w:w="1560" w:type="dxa"/>
          </w:tcPr>
          <w:p>
            <w:pPr/>
            <w:hyperlink r:id="rId27" w:history="1">
              <w:r>
                <w:rPr>
                  <w:rStyle w:val="Hyperlink"/>
                </w:rPr>
                <w:t xml:space="preserve">BLS</w:t>
              </w:r>
            </w:hyperlink>
          </w:p>
        </w:tc>
        <w:tc>
          <w:tcPr>
            <w:tcW w:w="1560" w:type="dxa"/>
          </w:tcPr>
          <w:p>
            <w:pPr/>
            <w:r>
              <w:t xml:space="preserve">DS-21</w:t>
            </w:r>
          </w:p>
        </w:tc>
        <w:tc>
          <w:tcPr>
            <w:tcW w:w="1560" w:type="dxa"/>
          </w:tcPr>
          <w:p>
            <w:pPr/>
            <w:r>
              <w:t xml:space="preserve">365 days</w:t>
            </w:r>
          </w:p>
        </w:tc>
        <w:tc>
          <w:tcPr>
            <w:tcW w:w="1560" w:type="dxa"/>
          </w:tcPr>
          <w:p>
            <w:pPr/>
            <w:r>
              <w:t xml:space="preserve">Provider requires yearly renewal</w:t>
            </w:r>
          </w:p>
        </w:tc>
        <w:tc>
          <w:tcPr>
            <w:tcW w:w="1560" w:type="dxa"/>
          </w:tcPr>
          <w:p>
            <w:pPr/>
            <w:r>
              <w:t xml:space="preserve">Not stored yet</w:t>
            </w:r>
          </w:p>
        </w:tc>
      </w:tr>
      <w:tr>
        <w:tc>
          <w:tcPr>
            <w:tcW w:w="1560" w:type="dxa"/>
          </w:tcPr>
          <w:p>
            <w:pPr/>
            <w:r>
              <w:rPr>
                <w:rStyle w:val="CodeChar"/>
              </w:rPr>
              <w:t xml:space="preserve">fred</w:t>
            </w:r>
          </w:p>
        </w:tc>
        <w:tc>
          <w:tcPr>
            <w:tcW w:w="1560" w:type="dxa"/>
          </w:tcPr>
          <w:p>
            <w:pPr/>
            <w:hyperlink r:id="rId28" w:history="1">
              <w:r>
                <w:rPr>
                  <w:rStyle w:val="Hyperlink"/>
                </w:rPr>
                <w:t xml:space="preserve">FRED</w:t>
              </w:r>
            </w:hyperlink>
          </w:p>
        </w:tc>
        <w:tc>
          <w:tcPr>
            <w:tcW w:w="1560" w:type="dxa"/>
          </w:tcPr>
          <w:p>
            <w:pPr/>
            <w:r>
              <w:t xml:space="preserve">DS-15, DS-16, DS-26, DS-39, DS-45, DS-23</w:t>
            </w:r>
          </w:p>
        </w:tc>
        <w:tc>
          <w:tcPr>
            <w:tcW w:w="1560" w:type="dxa"/>
          </w:tcPr>
          <w:p>
            <w:pPr/>
            <w:r>
              <w:t xml:space="preserve">365 days</w:t>
            </w:r>
          </w:p>
        </w:tc>
        <w:tc>
          <w:tcPr>
            <w:tcW w:w="1560" w:type="dxa"/>
          </w:tcPr>
          <w:p>
            <w:pPr/>
            <w:r>
              <w:t xml:space="preserve">Policy; key never expires</w:t>
            </w:r>
          </w:p>
        </w:tc>
        <w:tc>
          <w:tcPr>
            <w:tcW w:w="1560" w:type="dxa"/>
          </w:tcPr>
          <w:p>
            <w:pPr/>
            <w:r>
              <w:t xml:space="preserve">Not stored yet</w:t>
            </w:r>
          </w:p>
        </w:tc>
      </w:tr>
      <w:tr>
        <w:tc>
          <w:tcPr>
            <w:tcW w:w="1560" w:type="dxa"/>
          </w:tcPr>
          <w:p>
            <w:pPr/>
            <w:r>
              <w:rPr>
                <w:rStyle w:val="CodeChar"/>
              </w:rPr>
              <w:t xml:space="preserve">finnhub</w:t>
            </w:r>
          </w:p>
        </w:tc>
        <w:tc>
          <w:tcPr>
            <w:tcW w:w="1560" w:type="dxa"/>
          </w:tcPr>
          <w:p>
            <w:pPr/>
            <w:hyperlink r:id="rId29" w:history="1">
              <w:r>
                <w:rPr>
                  <w:rStyle w:val="Hyperlink"/>
                </w:rPr>
                <w:t xml:space="preserve">Finnhub</w:t>
              </w:r>
            </w:hyperlink>
          </w:p>
        </w:tc>
        <w:tc>
          <w:tcPr>
            <w:tcW w:w="1560" w:type="dxa"/>
          </w:tcPr>
          <w:p>
            <w:pPr/>
            <w:r>
              <w:t xml:space="preserve">DS-41, DS-13, DS-04</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alpha-vantage</w:t>
            </w:r>
          </w:p>
        </w:tc>
        <w:tc>
          <w:tcPr>
            <w:tcW w:w="1560" w:type="dxa"/>
          </w:tcPr>
          <w:p>
            <w:pPr/>
            <w:hyperlink r:id="rId30" w:history="1">
              <w:r>
                <w:rPr>
                  <w:rStyle w:val="Hyperlink"/>
                </w:rPr>
                <w:t xml:space="preserve">Alpha Vantage</w:t>
              </w:r>
            </w:hyperlink>
          </w:p>
        </w:tc>
        <w:tc>
          <w:tcPr>
            <w:tcW w:w="1560" w:type="dxa"/>
          </w:tcPr>
          <w:p>
            <w:pPr/>
            <w:r>
              <w:t xml:space="preserve">DS-40, DS-03</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massive</w:t>
            </w:r>
          </w:p>
        </w:tc>
        <w:tc>
          <w:tcPr>
            <w:tcW w:w="1560" w:type="dxa"/>
          </w:tcPr>
          <w:p>
            <w:pPr/>
            <w:hyperlink r:id="rId31" w:history="1">
              <w:r>
                <w:rPr>
                  <w:rStyle w:val="Hyperlink"/>
                </w:rPr>
                <w:t xml:space="preserve">Massive (Polygon)</w:t>
              </w:r>
            </w:hyperlink>
          </w:p>
        </w:tc>
        <w:tc>
          <w:tcPr>
            <w:tcW w:w="1560" w:type="dxa"/>
          </w:tcPr>
          <w:p>
            <w:pPr/>
            <w:r>
              <w:t xml:space="preserve">DS-01, DS-42</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bea</w:t>
            </w:r>
          </w:p>
        </w:tc>
        <w:tc>
          <w:tcPr>
            <w:tcW w:w="1560" w:type="dxa"/>
          </w:tcPr>
          <w:p>
            <w:pPr/>
            <w:hyperlink r:id="rId32" w:history="1">
              <w:r>
                <w:rPr>
                  <w:rStyle w:val="Hyperlink"/>
                </w:rPr>
                <w:t xml:space="preserve">BEA</w:t>
              </w:r>
            </w:hyperlink>
          </w:p>
        </w:tc>
        <w:tc>
          <w:tcPr>
            <w:tcW w:w="1560" w:type="dxa"/>
          </w:tcPr>
          <w:p>
            <w:pPr/>
            <w:r>
              <w:t xml:space="preserve">DS-24</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census</w:t>
            </w:r>
          </w:p>
        </w:tc>
        <w:tc>
          <w:tcPr>
            <w:tcW w:w="1560" w:type="dxa"/>
          </w:tcPr>
          <w:p>
            <w:pPr/>
            <w:hyperlink r:id="rId33" w:history="1">
              <w:r>
                <w:rPr>
                  <w:rStyle w:val="Hyperlink"/>
                </w:rPr>
                <w:t xml:space="preserve">Census</w:t>
              </w:r>
            </w:hyperlink>
          </w:p>
        </w:tc>
        <w:tc>
          <w:tcPr>
            <w:tcW w:w="1560" w:type="dxa"/>
          </w:tcPr>
          <w:p>
            <w:pPr/>
            <w:r>
              <w:t xml:space="preserve">DS-34</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api-data-gov</w:t>
            </w:r>
          </w:p>
        </w:tc>
        <w:tc>
          <w:tcPr>
            <w:tcW w:w="1560" w:type="dxa"/>
          </w:tcPr>
          <w:p>
            <w:pPr/>
            <w:hyperlink r:id="rId34" w:history="1">
              <w:r>
                <w:rPr>
                  <w:rStyle w:val="Hyperlink"/>
                </w:rPr>
                <w:t xml:space="preserve">api.data.gov</w:t>
              </w:r>
            </w:hyperlink>
            <w:r>
              <w:t xml:space="preserve"> (FCC)</w:t>
            </w:r>
          </w:p>
        </w:tc>
        <w:tc>
          <w:tcPr>
            <w:tcW w:w="1560" w:type="dxa"/>
          </w:tcPr>
          <w:p>
            <w:pPr/>
            <w:r>
              <w:t xml:space="preserve">DS-74</w:t>
            </w:r>
          </w:p>
        </w:tc>
        <w:tc>
          <w:tcPr>
            <w:tcW w:w="1560" w:type="dxa"/>
          </w:tcPr>
          <w:p>
            <w:pPr/>
            <w:r>
              <w:t xml:space="preserve">365 days</w:t>
            </w:r>
          </w:p>
        </w:tc>
        <w:tc>
          <w:tcPr>
            <w:tcW w:w="1560" w:type="dxa"/>
          </w:tcPr>
          <w:p>
            <w:pPr/>
            <w:r>
              <w:t xml:space="preserve">Policy</w:t>
            </w:r>
          </w:p>
        </w:tc>
        <w:tc>
          <w:tcPr>
            <w:tcW w:w="1560" w:type="dxa"/>
          </w:tcPr>
          <w:p>
            <w:pPr/>
            <w:r>
              <w:t xml:space="preserve">Not stored yet</w:t>
            </w:r>
          </w:p>
        </w:tc>
      </w:tr>
      <w:tr>
        <w:tc>
          <w:tcPr>
            <w:tcW w:w="1560" w:type="dxa"/>
          </w:tcPr>
          <w:p>
            <w:pPr/>
            <w:r>
              <w:rPr>
                <w:rStyle w:val="CodeChar"/>
              </w:rPr>
              <w:t xml:space="preserve">acled-password</w:t>
            </w:r>
          </w:p>
        </w:tc>
        <w:tc>
          <w:tcPr>
            <w:tcW w:w="1560" w:type="dxa"/>
          </w:tcPr>
          <w:p>
            <w:pPr/>
            <w:hyperlink r:id="rId35" w:history="1">
              <w:r>
                <w:rPr>
                  <w:rStyle w:val="Hyperlink"/>
                </w:rPr>
                <w:t xml:space="preserve">ACLED</w:t>
              </w:r>
            </w:hyperlink>
            <w:r>
              <w:t xml:space="preserve"> (myACLED login)</w:t>
            </w:r>
          </w:p>
        </w:tc>
        <w:tc>
          <w:tcPr>
            <w:tcW w:w="1560" w:type="dxa"/>
          </w:tcPr>
          <w:p>
            <w:pPr/>
            <w:r>
              <w:t xml:space="preserve">DS-36</w:t>
            </w:r>
          </w:p>
        </w:tc>
        <w:tc>
          <w:tcPr>
            <w:tcW w:w="1560" w:type="dxa"/>
          </w:tcPr>
          <w:p>
            <w:pPr/>
            <w:r>
              <w:t xml:space="preserve">365 days</w:t>
            </w:r>
          </w:p>
        </w:tc>
        <w:tc>
          <w:tcPr>
            <w:tcW w:w="1560" w:type="dxa"/>
          </w:tcPr>
          <w:p>
            <w:pPr/>
            <w:r>
              <w:t xml:space="preserve">Policy; the app trades it for 24-hour tokens</w:t>
            </w:r>
          </w:p>
        </w:tc>
        <w:tc>
          <w:tcPr>
            <w:tcW w:w="1560" w:type="dxa"/>
          </w:tcPr>
          <w:p>
            <w:pPr/>
            <w:r>
              <w:t xml:space="preserve">Not stored yet</w:t>
            </w:r>
          </w:p>
        </w:tc>
      </w:tr>
    </w:tbl>
    <w:p>
      <w:pPr/>
      <w:r>
        <w:t xml:space="preserve">Sources for provider rules: SAM.gov 90-day expiry (</w:t>
      </w:r>
      <w:hyperlink r:id="rId36" w:history="1">
        <w:r>
          <w:rPr>
            <w:rStyle w:val="Hyperlink"/>
          </w:rPr>
          <w:t xml:space="preserve">Edgrapi</w:t>
        </w:r>
      </w:hyperlink>
      <w:r>
        <w:t xml:space="preserve">, </w:t>
      </w:r>
      <w:hyperlink r:id="rId37" w:history="1">
        <w:r>
          <w:rPr>
            <w:rStyle w:val="Hyperlink"/>
          </w:rPr>
          <w:t xml:space="preserve">HHS simpler-grants issue</w:t>
        </w:r>
      </w:hyperlink>
      <w:r>
        <w:t xml:space="preserve">); </w:t>
      </w:r>
      <w:hyperlink r:id="rId38" w:history="1">
        <w:r>
          <w:rPr>
            <w:rStyle w:val="Hyperlink"/>
          </w:rPr>
          <w:t xml:space="preserve">BLS API FAQ</w:t>
        </w:r>
      </w:hyperlink>
      <w:r>
        <w:t xml:space="preserve">; ACLED token lifetimes (</w:t>
      </w:r>
      <w:hyperlink r:id="rId39" w:history="1">
        <w:r>
          <w:rPr>
            <w:rStyle w:val="Hyperlink"/>
          </w:rPr>
          <w:t xml:space="preserve">ACLED docs</w:t>
        </w:r>
      </w:hyperlink>
      <w:r>
        <w:t xml:space="preserve">).</w:t>
      </w:r>
    </w:p>
    <w:p>
      <w:pPr/>
      <w:r>
        <w:t xml:space="preserve">How reminders work (Terraform module </w:t>
      </w:r>
      <w:r>
        <w:rPr>
          <w:rStyle w:val="CodeChar"/>
        </w:rPr>
        <w:t xml:space="preserve">api_keys</w:t>
      </w:r>
      <w:r>
        <w:t xml:space="preserve">, about $0 a month):</w:t>
      </w:r>
    </w:p>
    <w:p>
      <w:pPr>
        <w:pStyle w:val="ListParagraph"/>
        <w:numPr>
          <w:ilvl w:val="0"/>
          <w:numId w:val="15"/>
        </w:numPr>
      </w:pPr>
      <w:r>
        <w:t xml:space="preserve">Each key is an SSM SecureString under </w:t>
      </w:r>
      <w:r>
        <w:rPr>
          <w:rStyle w:val="CodeChar"/>
        </w:rPr>
        <w:t xml:space="preserve">/invdash/api-keys/</w:t>
      </w:r>
      <w:r>
        <w:t xml:space="preserve">, encrypted with the data KMS key and tagged with its rotation period. Terraform creates a placeholder and never holds the real value.</w:t>
      </w:r>
    </w:p>
    <w:p>
      <w:pPr>
        <w:pStyle w:val="ListParagraph"/>
        <w:numPr>
          <w:ilvl w:val="0"/>
          <w:numId w:val="15"/>
        </w:numPr>
      </w:pPr>
      <w:r>
        <w:t xml:space="preserve">Every day at 8:00 PT a small Lambda reads only metadata and tags, never the key values. It emails the security topic 14, 7, 3, 1 and 0 days before a key is due, daily once a key is overdue, and on Mondays while a key has never been stored.</w:t>
      </w:r>
    </w:p>
    <w:p>
      <w:pPr>
        <w:pStyle w:val="ListParagraph"/>
        <w:numPr>
          <w:ilvl w:val="0"/>
          <w:numId w:val="15"/>
        </w:numPr>
      </w:pPr>
      <w:r>
        <w:t xml:space="preserve">Every change to a key triggers an </w:t>
      </w:r>
      <w:r>
        <w:rPr>
          <w:rStyle w:val="CodeChar"/>
        </w:rPr>
        <w:t xml:space="preserve">api-key-changed</w:t>
      </w:r>
      <w:r>
        <w:t xml:space="preserve"> security alert, and CloudTrail keeps the change for 30 months.</w:t>
      </w:r>
    </w:p>
    <w:p>
      <w:pPr>
        <w:pStyle w:val="ListParagraph"/>
        <w:numPr>
          <w:ilvl w:val="0"/>
          <w:numId w:val="15"/>
        </w:numPr>
      </w:pPr>
      <w:r>
        <w:t xml:space="preserve">Jobs read keys with a 5-minute cache, so a new key takes effect without a redeploy.</w:t>
      </w:r>
    </w:p>
    <w:p>
      <w:pPr/>
      <w:r>
        <w:t xml:space="preserve">To rotate a key:</w:t>
      </w:r>
    </w:p>
    <w:p>
      <w:pPr>
        <w:pStyle w:val="ListParagraph"/>
        <w:numPr>
          <w:ilvl w:val="0"/>
          <w:numId w:val="16"/>
        </w:numPr>
      </w:pPr>
      <w:r>
        <w:t xml:space="preserve">Regenerate it at the provider (the email links there). If the provider allows two keys at once, create the new one first.</w:t>
      </w:r>
    </w:p>
    <w:p>
      <w:pPr>
        <w:pStyle w:val="ListParagraph"/>
        <w:numPr>
          <w:ilvl w:val="0"/>
          <w:numId w:val="16"/>
        </w:numPr>
      </w:pPr>
      <w:r>
        <w:t xml:space="preserve">Run </w:t>
      </w:r>
      <w:r>
        <w:rPr>
          <w:rStyle w:val="CodeChar"/>
        </w:rPr>
        <w:t xml:space="preserve">scripts/rotate-key.sh &lt;key&gt;</w:t>
      </w:r>
      <w:r>
        <w:t xml:space="preserve"> and paste the value. It never touches shell history or the process list.</w:t>
      </w:r>
    </w:p>
    <w:p>
      <w:pPr>
        <w:pStyle w:val="ListParagraph"/>
        <w:numPr>
          <w:ilvl w:val="0"/>
          <w:numId w:val="16"/>
        </w:numPr>
      </w:pPr>
      <w:r>
        <w:t xml:space="preserve">After the next job run succeeds, revoke the old key at the provider.</w:t>
      </w:r>
    </w:p>
    <w:p>
      <w:pPr>
        <w:pStyle w:val="ListParagraph"/>
        <w:numPr>
          <w:ilvl w:val="0"/>
          <w:numId w:val="16"/>
        </w:numPr>
      </w:pPr>
      <w:r>
        <w:t xml:space="preserve">Rotate right away, off schedule, if a key may have leaked.</w:t>
      </w:r>
    </w:p>
    <w:p>
      <w:pPr/>
      <w:r>
        <w:rPr>
          <w:b/>
        </w:rPr>
        <w:t xml:space="preserve">Why SSM instead of Secrets Manager:</w:t>
      </w:r>
      <w:r>
        <w:t xml:space="preserve"> both are FedRAMP Moderate authorized and both meet IA-5, SC-28, AC-6 and AU-2 here. Secrets Manager's automatic rotation can't help, because none of these providers has a rotation API. The daily check supplies the last-rotated evidence that Secrets Manager would show, without its ~$5 a month for 12 secrets.</w:t>
      </w:r>
    </w:p>
    <w:p>
      <w:pPr>
        <w:pStyle w:val="Heading3"/>
      </w:pPr>
      <w:r>
        <w:t xml:space="preserve">Accepted risk: job Lambdas outside a VPC</w:t>
      </w:r>
    </w:p>
    <w:p>
      <w:pPr/>
      <w:r>
        <w:t xml:space="preserve">The job Lambdas stay outside a VPC as a documented accepted risk. They can reach any internet host, which falls short of SC-7(5) (deny outbound traffic unless allowed) and AC-4 (information flow enforcement). What's at stake is public market data and free API keys, and closing the gap would at least double the monthly bill.</w:t>
      </w:r>
    </w:p>
    <w:p>
      <w:pPr/>
      <w:r>
        <w:t xml:space="preserve">Compensating controls:</w:t>
      </w:r>
    </w:p>
    <w:p>
      <w:pPr>
        <w:pStyle w:val="ListParagraph"/>
        <w:numPr>
          <w:ilvl w:val="0"/>
          <w:numId w:val="17"/>
        </w:numPr>
      </w:pPr>
      <w:r>
        <w:rPr>
          <w:b/>
        </w:rPr>
        <w:t xml:space="preserve">Least privilege:</w:t>
      </w:r>
      <w:r>
        <w:t xml:space="preserve"> each job role can write only its own lake prefix and read only the keys it uses.</w:t>
      </w:r>
    </w:p>
    <w:p>
      <w:pPr>
        <w:pStyle w:val="ListParagraph"/>
        <w:numPr>
          <w:ilvl w:val="0"/>
          <w:numId w:val="17"/>
        </w:numPr>
      </w:pPr>
      <w:r>
        <w:rPr>
          <w:b/>
        </w:rPr>
        <w:t xml:space="preserve">Network monitoring:</w:t>
      </w:r>
      <w:r>
        <w:t xml:space="preserve"> GuardDuty Lambda Protection watches network activity of functions outside a VPC too, which keeps SI-4 covered (</w:t>
      </w:r>
      <w:hyperlink r:id="rId40" w:history="1">
        <w:r>
          <w:rPr>
            <w:rStyle w:val="Hyperlink"/>
          </w:rPr>
          <w:t xml:space="preserve">AWS docs</w:t>
        </w:r>
      </w:hyperlink>
      <w:r>
        <w:t xml:space="preserve">).</w:t>
      </w:r>
    </w:p>
    <w:p>
      <w:pPr>
        <w:pStyle w:val="ListParagraph"/>
        <w:numPr>
          <w:ilvl w:val="0"/>
          <w:numId w:val="17"/>
        </w:numPr>
      </w:pPr>
      <w:r>
        <w:rPr>
          <w:b/>
        </w:rPr>
        <w:t xml:space="preserve">Code checks:</w:t>
      </w:r>
      <w:r>
        <w:t xml:space="preserve"> Inspector scans the image and functions; pip-audit and Checkov run in CI.</w:t>
      </w:r>
    </w:p>
    <w:p>
      <w:pPr>
        <w:pStyle w:val="ListParagraph"/>
        <w:numPr>
          <w:ilvl w:val="0"/>
          <w:numId w:val="17"/>
        </w:numPr>
      </w:pPr>
      <w:r>
        <w:rPr>
          <w:b/>
        </w:rPr>
        <w:t xml:space="preserve">Software allowlist:</w:t>
      </w:r>
      <w:r>
        <w:t xml:space="preserve"> the jobs' HTTP client refuses hosts that aren't in the source catalog (built: app/http_client.py).</w:t>
      </w:r>
    </w:p>
    <w:p>
      <w:pPr/>
      <w:r>
        <w:t xml:space="preserve">Options if the risk is no longer acceptable: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Extra $/month</w:t>
            </w:r>
          </w:p>
        </w:tc>
        <w:tc>
          <w:tcPr>
            <w:tcW w:w="3120" w:type="dxa"/>
            <w:shd w:val="clear" w:color="auto" w:fill="F2F2F2"/>
          </w:tcPr>
          <w:p>
            <w:pPr/>
            <w:r>
              <w:t xml:space="preserve">What it covers</w:t>
            </w:r>
          </w:p>
        </w:tc>
      </w:tr>
      <w:tr>
        <w:tc>
          <w:tcPr>
            <w:tcW w:w="3120" w:type="dxa"/>
          </w:tcPr>
          <w:p>
            <w:pPr/>
            <w:r>
              <w:t xml:space="preserve">Keep as is (this decision)</w:t>
            </w:r>
          </w:p>
        </w:tc>
        <w:tc>
          <w:tcPr>
            <w:tcW w:w="3120" w:type="dxa"/>
          </w:tcPr>
          <w:p>
            <w:pPr/>
            <w:r>
              <w:t xml:space="preserve">0</w:t>
            </w:r>
          </w:p>
        </w:tc>
        <w:tc>
          <w:tcPr>
            <w:tcW w:w="3120" w:type="dxa"/>
          </w:tcPr>
          <w:p>
            <w:pPr/>
            <w:r>
              <w:t xml:space="preserve">Gap covered by the controls above</w:t>
            </w:r>
          </w:p>
        </w:tc>
      </w:tr>
      <w:tr>
        <w:tc>
          <w:tcPr>
            <w:tcW w:w="3120" w:type="dxa"/>
          </w:tcPr>
          <w:p>
            <w:pPr/>
            <w:r>
              <w:t xml:space="preserve">VPC + NAT gateway + Route 53 DNS Firewall allowlist of ~60 provider domains + free S3 gateway endpoint</w:t>
            </w:r>
          </w:p>
        </w:tc>
        <w:tc>
          <w:tcPr>
            <w:tcW w:w="3120" w:type="dxa"/>
          </w:tcPr>
          <w:p>
            <w:pPr/>
            <w:r>
              <w:t xml:space="preserve">~33</w:t>
            </w:r>
          </w:p>
        </w:tc>
        <w:tc>
          <w:tcPr>
            <w:tcW w:w="3120" w:type="dxa"/>
          </w:tcPr>
          <w:p>
            <w:pPr/>
            <w:r>
              <w:t xml:space="preserve">Blocks by domain name; doesn't stop connections made straight to an IP address</w:t>
            </w:r>
          </w:p>
        </w:tc>
      </w:tr>
      <w:tr>
        <w:tc>
          <w:tcPr>
            <w:tcW w:w="3120" w:type="dxa"/>
          </w:tcPr>
          <w:p>
            <w:pPr/>
            <w:r>
              <w:t xml:space="preserve">VPC + AWS Network Firewall (NAT charges waived when paired)</w:t>
            </w:r>
          </w:p>
        </w:tc>
        <w:tc>
          <w:tcPr>
            <w:tcW w:w="3120" w:type="dxa"/>
          </w:tcPr>
          <w:p>
            <w:pPr/>
            <w:r>
              <w:t xml:space="preserve">~290</w:t>
            </w:r>
          </w:p>
        </w:tc>
        <w:tc>
          <w:tcPr>
            <w:tcW w:w="3120" w:type="dxa"/>
          </w:tcPr>
          <w:p>
            <w:pPr/>
            <w:r>
              <w:t xml:space="preserve">Enforces SC-7(5) as written (</w:t>
            </w:r>
            <w:hyperlink r:id="rId41" w:history="1">
              <w:r>
                <w:rPr>
                  <w:rStyle w:val="Hyperlink"/>
                </w:rPr>
                <w:t xml:space="preserve">pricing</w:t>
              </w:r>
            </w:hyperlink>
            <w:r>
              <w:t xml:space="preserve">)</w:t>
            </w:r>
          </w:p>
        </w:tc>
      </w:tr>
    </w:tbl>
    <w:p>
      <w:pPr/>
      <w:r>
        <w:t xml:space="preserve">Revisit this decision if the system ever holds non-public data or a trading credential with real-money access. Running the jobs off AWS (on a home machine or another cloud) is not an option: it would pull that machine into what has to be secured and lose the controls AWS covers.</w:t>
      </w:r>
    </w:p>
    <w:p>
      <w:pPr>
        <w:pStyle w:val="Heading3"/>
      </w:pPr>
      <w:r>
        <w:t xml:space="preserve">Base-design choices revisited</w:t>
      </w:r>
    </w:p>
    <w:p>
      <w:pPr/>
      <w:r>
        <w:t xml:space="preserve">Two cost-saving choices from the base design fall short of Moderate and are changed; one is kept as an accepted risk; the rest don't affect any control.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Base-design choice</w:t>
            </w:r>
          </w:p>
        </w:tc>
        <w:tc>
          <w:tcPr>
            <w:tcW w:w="3120" w:type="dxa"/>
            <w:shd w:val="clear" w:color="auto" w:fill="F2F2F2"/>
          </w:tcPr>
          <w:p>
            <w:pPr/>
            <w:r>
              <w:t xml:space="preserve">Effect under FedRAMP Moderate</w:t>
            </w:r>
          </w:p>
        </w:tc>
        <w:tc>
          <w:tcPr>
            <w:tcW w:w="3120" w:type="dxa"/>
            <w:shd w:val="clear" w:color="auto" w:fill="F2F2F2"/>
          </w:tcPr>
          <w:p>
            <w:pPr/>
            <w:r>
              <w:t xml:space="preserve">Resolution</w:t>
            </w:r>
          </w:p>
        </w:tc>
      </w:tr>
      <w:tr>
        <w:tc>
          <w:tcPr>
            <w:tcW w:w="3120" w:type="dxa"/>
          </w:tcPr>
          <w:p>
            <w:pPr/>
            <w:r>
              <w:t xml:space="preserve">Logs kept 14 days in CloudWatch</w:t>
            </w:r>
          </w:p>
        </w:tc>
        <w:tc>
          <w:tcPr>
            <w:tcW w:w="3120" w:type="dxa"/>
          </w:tcPr>
          <w:p>
            <w:pPr/>
            <w:r>
              <w:t xml:space="preserve">Yes: falls short of AU-11 retention</w:t>
            </w:r>
          </w:p>
        </w:tc>
        <w:tc>
          <w:tcPr>
            <w:tcW w:w="3120" w:type="dxa"/>
          </w:tcPr>
          <w:p>
            <w:pPr/>
            <w:r>
              <w:rPr>
                <w:b/>
              </w:rPr>
              <w:t xml:space="preserve">Changed:</w:t>
            </w:r>
            <w:r>
              <w:t xml:space="preserve"> 400 days in CloudWatch, 30 months in S3</w:t>
            </w:r>
          </w:p>
        </w:tc>
      </w:tr>
      <w:tr>
        <w:tc>
          <w:tcPr>
            <w:tcW w:w="3120" w:type="dxa"/>
          </w:tcPr>
          <w:p>
            <w:pPr/>
            <w:r>
              <w:t xml:space="preserve">AWS-managed KMS keys</w:t>
            </w:r>
          </w:p>
        </w:tc>
        <w:tc>
          <w:tcPr>
            <w:tcW w:w="3120" w:type="dxa"/>
          </w:tcPr>
          <w:p>
            <w:pPr/>
            <w:r>
              <w:t xml:space="preserve">Partly: SC-28 is met, but SC-12 key control and AU-9(4) audit-log separation need your own keys</w:t>
            </w:r>
          </w:p>
        </w:tc>
        <w:tc>
          <w:tcPr>
            <w:tcW w:w="3120" w:type="dxa"/>
          </w:tcPr>
          <w:p>
            <w:pPr/>
            <w:r>
              <w:rPr>
                <w:b/>
              </w:rPr>
              <w:t xml:space="preserve">Changed:</w:t>
            </w:r>
            <w:r>
              <w:t xml:space="preserve"> data, audit and DR replica keys</w:t>
            </w:r>
          </w:p>
        </w:tc>
      </w:tr>
      <w:tr>
        <w:tc>
          <w:tcPr>
            <w:tcW w:w="3120" w:type="dxa"/>
          </w:tcPr>
          <w:p>
            <w:pPr/>
            <w:r>
              <w:t xml:space="preserve">Lambdas outside a VPC, no NAT gateway</w:t>
            </w:r>
          </w:p>
        </w:tc>
        <w:tc>
          <w:tcPr>
            <w:tcW w:w="3120" w:type="dxa"/>
          </w:tcPr>
          <w:p>
            <w:pPr/>
            <w:r>
              <w:t xml:space="preserve">Yes: SC-7(5), AC-4</w:t>
            </w:r>
          </w:p>
        </w:tc>
        <w:tc>
          <w:tcPr>
            <w:tcW w:w="3120" w:type="dxa"/>
          </w:tcPr>
          <w:p>
            <w:pPr/>
            <w:r>
              <w:rPr>
                <w:b/>
              </w:rPr>
              <w:t xml:space="preserve">Kept</w:t>
            </w:r>
            <w:r>
              <w:t xml:space="preserve"> as an accepted risk (above)</w:t>
            </w:r>
          </w:p>
        </w:tc>
      </w:tr>
      <w:tr>
        <w:tc>
          <w:tcPr>
            <w:tcW w:w="3120" w:type="dxa"/>
          </w:tcPr>
          <w:p>
            <w:pPr/>
            <w:r>
              <w:t xml:space="preserve">SSM Parameter Store instead of Secrets Manager</w:t>
            </w:r>
          </w:p>
        </w:tc>
        <w:tc>
          <w:tcPr>
            <w:tcW w:w="3120" w:type="dxa"/>
          </w:tcPr>
          <w:p>
            <w:pPr/>
            <w:r>
              <w:t xml:space="preserve">No, provided keys use your KMS key and follow a rotation schedule</w:t>
            </w:r>
          </w:p>
        </w:tc>
        <w:tc>
          <w:tcPr>
            <w:tcW w:w="3120" w:type="dxa"/>
          </w:tcPr>
          <w:p>
            <w:pPr/>
            <w:r>
              <w:rPr>
                <w:b/>
              </w:rPr>
              <w:t xml:space="preserve">Kept</w:t>
            </w:r>
            <w:r>
              <w:t xml:space="preserve">, with the data key and the rotation reminders</w:t>
            </w:r>
          </w:p>
        </w:tc>
      </w:tr>
      <w:tr>
        <w:tc>
          <w:tcPr>
            <w:tcW w:w="3120" w:type="dxa"/>
          </w:tcPr>
          <w:p>
            <w:pPr/>
            <w:r>
              <w:t xml:space="preserve">Six summary metrics instead of one per source</w:t>
            </w:r>
          </w:p>
        </w:tc>
        <w:tc>
          <w:tcPr>
            <w:tcW w:w="3120" w:type="dxa"/>
          </w:tcPr>
          <w:p>
            <w:pPr/>
            <w:r>
              <w:t xml:space="preserve">No: SI-4 and AU-6 need the monitoring, not that kind of metric; </w:t>
            </w:r>
            <w:r>
              <w:rPr>
                <w:rStyle w:val="CodeChar"/>
              </w:rPr>
              <w:t xml:space="preserve">ingestion_runs</w:t>
            </w:r>
            <w:r>
              <w:t xml:space="preserve"> and logs cover each source</w:t>
            </w:r>
          </w:p>
        </w:tc>
        <w:tc>
          <w:tcPr>
            <w:tcW w:w="3120" w:type="dxa"/>
          </w:tcPr>
          <w:p>
            <w:pPr/>
            <w:r>
              <w:t xml:space="preserve">Kept</w:t>
            </w:r>
          </w:p>
        </w:tc>
      </w:tr>
      <w:tr>
        <w:tc>
          <w:tcPr>
            <w:tcW w:w="3120" w:type="dxa"/>
          </w:tcPr>
          <w:p>
            <w:pPr/>
            <w:r>
              <w:t xml:space="preserve">Few CloudWatch dashboards</w:t>
            </w:r>
          </w:p>
        </w:tc>
        <w:tc>
          <w:tcPr>
            <w:tcW w:w="3120" w:type="dxa"/>
          </w:tcPr>
          <w:p>
            <w:pPr/>
            <w:r>
              <w:t xml:space="preserve">No</w:t>
            </w:r>
          </w:p>
        </w:tc>
        <w:tc>
          <w:tcPr>
            <w:tcW w:w="3120" w:type="dxa"/>
          </w:tcPr>
          <w:p>
            <w:pPr/>
            <w:r>
              <w:t xml:space="preserve">Kept; Moderate adds an SLO dashboard (2 of the 3 free)</w:t>
            </w:r>
          </w:p>
        </w:tc>
      </w:tr>
      <w:tr>
        <w:tc>
          <w:tcPr>
            <w:tcW w:w="3120" w:type="dxa"/>
          </w:tcPr>
          <w:p>
            <w:pPr/>
            <w:r>
              <w:t xml:space="preserve">Parquet on S3 instead of a database server</w:t>
            </w:r>
          </w:p>
        </w:tc>
        <w:tc>
          <w:tcPr>
            <w:tcW w:w="3120" w:type="dxa"/>
          </w:tcPr>
          <w:p>
            <w:pPr/>
            <w:r>
              <w:t xml:space="preserve">No: versioned, encrypted S3 meets SC-28 and CP-9</w:t>
            </w:r>
          </w:p>
        </w:tc>
        <w:tc>
          <w:tcPr>
            <w:tcW w:w="3120" w:type="dxa"/>
          </w:tcPr>
          <w:p>
            <w:pPr/>
            <w:r>
              <w:t xml:space="preserve">Kept</w:t>
            </w:r>
          </w:p>
        </w:tc>
      </w:tr>
    </w:tbl>
    <w:p>
      <w:pPr>
        <w:pStyle w:val="Heading3"/>
      </w:pPr>
      <w:r>
        <w:t xml:space="preserve">Control mapping</w:t>
      </w:r>
    </w:p>
    <w:p>
      <w:pPr/>
      <w:r>
        <w:t xml:space="preserve">The table maps each relevant Moderate control to how it is met and where it is built. "App" means the job, CloudFront or Cognito code, which comes outside this starter.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Control</w:t>
            </w:r>
          </w:p>
        </w:tc>
        <w:tc>
          <w:tcPr>
            <w:tcW w:w="2340" w:type="dxa"/>
            <w:shd w:val="clear" w:color="auto" w:fill="F2F2F2"/>
          </w:tcPr>
          <w:p>
            <w:pPr/>
            <w:r>
              <w:t xml:space="preserve">Requirement</w:t>
            </w:r>
          </w:p>
        </w:tc>
        <w:tc>
          <w:tcPr>
            <w:tcW w:w="2340" w:type="dxa"/>
            <w:shd w:val="clear" w:color="auto" w:fill="F2F2F2"/>
          </w:tcPr>
          <w:p>
            <w:pPr/>
            <w:r>
              <w:t xml:space="preserve">How it is met</w:t>
            </w:r>
          </w:p>
        </w:tc>
        <w:tc>
          <w:tcPr>
            <w:tcW w:w="2340" w:type="dxa"/>
            <w:shd w:val="clear" w:color="auto" w:fill="F2F2F2"/>
          </w:tcPr>
          <w:p>
            <w:pPr/>
            <w:r>
              <w:t xml:space="preserve">Built in</w:t>
            </w:r>
          </w:p>
        </w:tc>
      </w:tr>
      <w:tr>
        <w:tc>
          <w:tcPr>
            <w:tcW w:w="2340" w:type="dxa"/>
          </w:tcPr>
          <w:p>
            <w:pPr/>
            <w:r>
              <w:t xml:space="preserve">AC-2(4)</w:t>
            </w:r>
          </w:p>
        </w:tc>
        <w:tc>
          <w:tcPr>
            <w:tcW w:w="2340" w:type="dxa"/>
          </w:tcPr>
          <w:p>
            <w:pPr/>
            <w:r>
              <w:t xml:space="preserve">Automated audit of account changes</w:t>
            </w:r>
          </w:p>
        </w:tc>
        <w:tc>
          <w:tcPr>
            <w:tcW w:w="2340" w:type="dxa"/>
          </w:tcPr>
          <w:p>
            <w:pPr/>
            <w:r>
              <w:t xml:space="preserve">EventBridge alert on IAM user, key, policy and MFA changes</w:t>
            </w:r>
          </w:p>
        </w:tc>
        <w:tc>
          <w:tcPr>
            <w:tcW w:w="2340" w:type="dxa"/>
          </w:tcPr>
          <w:p>
            <w:pPr/>
            <w:r>
              <w:t xml:space="preserve">alerting</w:t>
            </w:r>
          </w:p>
        </w:tc>
      </w:tr>
      <w:tr>
        <w:tc>
          <w:tcPr>
            <w:tcW w:w="2340" w:type="dxa"/>
          </w:tcPr>
          <w:p>
            <w:pPr/>
            <w:r>
              <w:t xml:space="preserve">AC-3, SC-7</w:t>
            </w:r>
          </w:p>
        </w:tc>
        <w:tc>
          <w:tcPr>
            <w:tcW w:w="2340" w:type="dxa"/>
          </w:tcPr>
          <w:p>
            <w:pPr/>
            <w:r>
              <w:t xml:space="preserve">Access enforcement, boundary protection</w:t>
            </w:r>
          </w:p>
        </w:tc>
        <w:tc>
          <w:tcPr>
            <w:tcW w:w="2340" w:type="dxa"/>
          </w:tcPr>
          <w:p>
            <w:pPr/>
            <w:r>
              <w:t xml:space="preserve">Account-wide S3 public-access block; TLS-only bucket policies; WAF on CloudFront; job Lambda outbound traffic unrestricted (accepted risk)</w:t>
            </w:r>
          </w:p>
        </w:tc>
        <w:tc>
          <w:tcPr>
            <w:tcW w:w="2340" w:type="dxa"/>
          </w:tcPr>
          <w:p>
            <w:pPr/>
            <w:r>
              <w:t xml:space="preserve">security_services, data_lake, app</w:t>
            </w:r>
          </w:p>
        </w:tc>
      </w:tr>
      <w:tr>
        <w:tc>
          <w:tcPr>
            <w:tcW w:w="2340" w:type="dxa"/>
          </w:tcPr>
          <w:p>
            <w:pPr/>
            <w:r>
              <w:t xml:space="preserve">AC-6</w:t>
            </w:r>
          </w:p>
        </w:tc>
        <w:tc>
          <w:tcPr>
            <w:tcW w:w="2340" w:type="dxa"/>
          </w:tcPr>
          <w:p>
            <w:pPr/>
            <w:r>
              <w:t xml:space="preserve">Least privilege</w:t>
            </w:r>
          </w:p>
        </w:tc>
        <w:tc>
          <w:tcPr>
            <w:tcW w:w="2340" w:type="dxa"/>
          </w:tcPr>
          <w:p>
            <w:pPr/>
            <w:r>
              <w:t xml:space="preserve">One IAM role per job; Access Analyzer flags external access; per-user DynamoDB isolation through a session-tagged role and dynamodb:LeadingKeys</w:t>
            </w:r>
          </w:p>
        </w:tc>
        <w:tc>
          <w:tcPr>
            <w:tcW w:w="2340" w:type="dxa"/>
          </w:tcPr>
          <w:p>
            <w:pPr/>
            <w:r>
              <w:t xml:space="preserve">security_services, app</w:t>
            </w:r>
          </w:p>
        </w:tc>
      </w:tr>
      <w:tr>
        <w:tc>
          <w:tcPr>
            <w:tcW w:w="2340" w:type="dxa"/>
          </w:tcPr>
          <w:p>
            <w:pPr/>
            <w:r>
              <w:t xml:space="preserve">AC-7, AC-8, AC-12</w:t>
            </w:r>
          </w:p>
        </w:tc>
        <w:tc>
          <w:tcPr>
            <w:tcW w:w="2340" w:type="dxa"/>
          </w:tcPr>
          <w:p>
            <w:pPr/>
            <w:r>
              <w:t xml:space="preserve">Lockout, sign-in banner, session end</w:t>
            </w:r>
          </w:p>
        </w:tc>
        <w:tc>
          <w:tcPr>
            <w:tcW w:w="2340" w:type="dxa"/>
          </w:tcPr>
          <w:p>
            <w:pPr/>
            <w:r>
              <w:t xml:space="preserve">Cognito lockout and Plus-tier threat protection; banner; 1-hour tokens, 12-hour refresh</w:t>
            </w:r>
          </w:p>
        </w:tc>
        <w:tc>
          <w:tcPr>
            <w:tcW w:w="2340" w:type="dxa"/>
          </w:tcPr>
          <w:p>
            <w:pPr/>
            <w:r>
              <w:t xml:space="preserve">app</w:t>
            </w:r>
          </w:p>
        </w:tc>
      </w:tr>
      <w:tr>
        <w:tc>
          <w:tcPr>
            <w:tcW w:w="2340" w:type="dxa"/>
          </w:tcPr>
          <w:p>
            <w:pPr/>
            <w:r>
              <w:t xml:space="preserve">AU-2, AU-12</w:t>
            </w:r>
          </w:p>
        </w:tc>
        <w:tc>
          <w:tcPr>
            <w:tcW w:w="2340" w:type="dxa"/>
          </w:tcPr>
          <w:p>
            <w:pPr/>
            <w:r>
              <w:t xml:space="preserve">Event logging</w:t>
            </w:r>
          </w:p>
        </w:tc>
        <w:tc>
          <w:tcPr>
            <w:tcW w:w="2340" w:type="dxa"/>
          </w:tcPr>
          <w:p>
            <w:pPr/>
            <w:r>
              <w:t xml:space="preserve">CloudTrail management, lake data and Lambda events; app logs</w:t>
            </w:r>
          </w:p>
        </w:tc>
        <w:tc>
          <w:tcPr>
            <w:tcW w:w="2340" w:type="dxa"/>
          </w:tcPr>
          <w:p>
            <w:pPr/>
            <w:r>
              <w:t xml:space="preserve">audit_logging, observability</w:t>
            </w:r>
          </w:p>
        </w:tc>
      </w:tr>
      <w:tr>
        <w:tc>
          <w:tcPr>
            <w:tcW w:w="2340" w:type="dxa"/>
          </w:tcPr>
          <w:p>
            <w:pPr/>
            <w:r>
              <w:t xml:space="preserve">AU-3, AU-8</w:t>
            </w:r>
          </w:p>
        </w:tc>
        <w:tc>
          <w:tcPr>
            <w:tcW w:w="2340" w:type="dxa"/>
          </w:tcPr>
          <w:p>
            <w:pPr/>
            <w:r>
              <w:t xml:space="preserve">Record content, time stamps</w:t>
            </w:r>
          </w:p>
        </w:tc>
        <w:tc>
          <w:tcPr>
            <w:tcW w:w="2340" w:type="dxa"/>
          </w:tcPr>
          <w:p>
            <w:pPr/>
            <w:r>
              <w:t xml:space="preserve">JSON schema: who, what, when (UTC), source, outcome, run_id</w:t>
            </w:r>
          </w:p>
        </w:tc>
        <w:tc>
          <w:tcPr>
            <w:tcW w:w="2340" w:type="dxa"/>
          </w:tcPr>
          <w:p>
            <w:pPr/>
            <w:r>
              <w:t xml:space="preserve">app/observability.py</w:t>
            </w:r>
          </w:p>
        </w:tc>
      </w:tr>
      <w:tr>
        <w:tc>
          <w:tcPr>
            <w:tcW w:w="2340" w:type="dxa"/>
          </w:tcPr>
          <w:p>
            <w:pPr/>
            <w:r>
              <w:t xml:space="preserve">AU-5</w:t>
            </w:r>
          </w:p>
        </w:tc>
        <w:tc>
          <w:tcPr>
            <w:tcW w:w="2340" w:type="dxa"/>
          </w:tcPr>
          <w:p>
            <w:pPr/>
            <w:r>
              <w:t xml:space="preserve">Response to logging failure</w:t>
            </w:r>
          </w:p>
        </w:tc>
        <w:tc>
          <w:tcPr>
            <w:tcW w:w="2340" w:type="dxa"/>
          </w:tcPr>
          <w:p>
            <w:pPr/>
            <w:r>
              <w:t xml:space="preserve">Alert on StopLogging, DeleteTrail, recorder stop, key disable</w:t>
            </w:r>
          </w:p>
        </w:tc>
        <w:tc>
          <w:tcPr>
            <w:tcW w:w="2340" w:type="dxa"/>
          </w:tcPr>
          <w:p>
            <w:pPr/>
            <w:r>
              <w:t xml:space="preserve">alerting</w:t>
            </w:r>
          </w:p>
        </w:tc>
      </w:tr>
      <w:tr>
        <w:tc>
          <w:tcPr>
            <w:tcW w:w="2340" w:type="dxa"/>
          </w:tcPr>
          <w:p>
            <w:pPr/>
            <w:r>
              <w:t xml:space="preserve">AU-6</w:t>
            </w:r>
          </w:p>
        </w:tc>
        <w:tc>
          <w:tcPr>
            <w:tcW w:w="2340" w:type="dxa"/>
          </w:tcPr>
          <w:p>
            <w:pPr/>
            <w:r>
              <w:t xml:space="preserve">Review and analysis</w:t>
            </w:r>
          </w:p>
        </w:tc>
        <w:tc>
          <w:tcPr>
            <w:tcW w:w="2340" w:type="dxa"/>
          </w:tcPr>
          <w:p>
            <w:pPr/>
            <w:r>
              <w:t xml:space="preserve">Security Hub, CloudTrail Insights, saved Logs Insights queries, weekly review</w:t>
            </w:r>
          </w:p>
        </w:tc>
        <w:tc>
          <w:tcPr>
            <w:tcW w:w="2340" w:type="dxa"/>
          </w:tcPr>
          <w:p>
            <w:pPr/>
            <w:r>
              <w:t xml:space="preserve">security_services, audit_logging, observability</w:t>
            </w:r>
          </w:p>
        </w:tc>
      </w:tr>
      <w:tr>
        <w:tc>
          <w:tcPr>
            <w:tcW w:w="2340" w:type="dxa"/>
          </w:tcPr>
          <w:p>
            <w:pPr/>
            <w:r>
              <w:t xml:space="preserve">AU-9, AU-9(4)</w:t>
            </w:r>
          </w:p>
        </w:tc>
        <w:tc>
          <w:tcPr>
            <w:tcW w:w="2340" w:type="dxa"/>
          </w:tcPr>
          <w:p>
            <w:pPr/>
            <w:r>
              <w:t xml:space="preserve">Protect audit records</w:t>
            </w:r>
          </w:p>
        </w:tc>
        <w:tc>
          <w:tcPr>
            <w:tcW w:w="2340" w:type="dxa"/>
          </w:tcPr>
          <w:p>
            <w:pPr/>
            <w:r>
              <w:t xml:space="preserve">Object Lock; separate audit key; deny-delete policy; log-file validation</w:t>
            </w:r>
          </w:p>
        </w:tc>
        <w:tc>
          <w:tcPr>
            <w:tcW w:w="2340" w:type="dxa"/>
          </w:tcPr>
          <w:p>
            <w:pPr/>
            <w:r>
              <w:t xml:space="preserve">audit_logging, kms</w:t>
            </w:r>
          </w:p>
        </w:tc>
      </w:tr>
      <w:tr>
        <w:tc>
          <w:tcPr>
            <w:tcW w:w="2340" w:type="dxa"/>
          </w:tcPr>
          <w:p>
            <w:pPr/>
            <w:r>
              <w:t xml:space="preserve">AU-11</w:t>
            </w:r>
          </w:p>
        </w:tc>
        <w:tc>
          <w:tcPr>
            <w:tcW w:w="2340" w:type="dxa"/>
          </w:tcPr>
          <w:p>
            <w:pPr/>
            <w:r>
              <w:t xml:space="preserve">Retention</w:t>
            </w:r>
          </w:p>
        </w:tc>
        <w:tc>
          <w:tcPr>
            <w:tcW w:w="2340" w:type="dxa"/>
          </w:tcPr>
          <w:p>
            <w:pPr/>
            <w:r>
              <w:t xml:space="preserve">400 days in CloudWatch; 30 months in S3</w:t>
            </w:r>
          </w:p>
        </w:tc>
        <w:tc>
          <w:tcPr>
            <w:tcW w:w="2340" w:type="dxa"/>
          </w:tcPr>
          <w:p>
            <w:pPr/>
            <w:r>
              <w:t xml:space="preserve">audit_logging, observability</w:t>
            </w:r>
          </w:p>
        </w:tc>
      </w:tr>
      <w:tr>
        <w:tc>
          <w:tcPr>
            <w:tcW w:w="2340" w:type="dxa"/>
          </w:tcPr>
          <w:p>
            <w:pPr/>
            <w:r>
              <w:t xml:space="preserve">CA-7</w:t>
            </w:r>
          </w:p>
        </w:tc>
        <w:tc>
          <w:tcPr>
            <w:tcW w:w="2340" w:type="dxa"/>
          </w:tcPr>
          <w:p>
            <w:pPr/>
            <w:r>
              <w:t xml:space="preserve">Continuous monitoring</w:t>
            </w:r>
          </w:p>
        </w:tc>
        <w:tc>
          <w:tcPr>
            <w:tcW w:w="2340" w:type="dxa"/>
          </w:tcPr>
          <w:p>
            <w:pPr/>
            <w:r>
              <w:t xml:space="preserve">Security Hub NIST 800-53 Rev 5 standard over AWS Config data</w:t>
            </w:r>
          </w:p>
        </w:tc>
        <w:tc>
          <w:tcPr>
            <w:tcW w:w="2340" w:type="dxa"/>
          </w:tcPr>
          <w:p>
            <w:pPr/>
            <w:r>
              <w:t xml:space="preserve">security_services</w:t>
            </w:r>
          </w:p>
        </w:tc>
      </w:tr>
      <w:tr>
        <w:tc>
          <w:tcPr>
            <w:tcW w:w="2340" w:type="dxa"/>
          </w:tcPr>
          <w:p>
            <w:pPr/>
            <w:r>
              <w:t xml:space="preserve">CM-2, CM-3, CM-6</w:t>
            </w:r>
          </w:p>
        </w:tc>
        <w:tc>
          <w:tcPr>
            <w:tcW w:w="2340" w:type="dxa"/>
          </w:tcPr>
          <w:p>
            <w:pPr/>
            <w:r>
              <w:t xml:space="preserve">Baseline, change control, settings</w:t>
            </w:r>
          </w:p>
        </w:tc>
        <w:tc>
          <w:tcPr>
            <w:tcW w:w="2340" w:type="dxa"/>
          </w:tcPr>
          <w:p>
            <w:pPr/>
            <w:r>
              <w:t xml:space="preserve">Terraform; pull request + CI + approval gate; Checkov policy scan</w:t>
            </w:r>
          </w:p>
        </w:tc>
        <w:tc>
          <w:tcPr>
            <w:tcW w:w="2340" w:type="dxa"/>
          </w:tcPr>
          <w:p>
            <w:pPr/>
            <w:r>
              <w:t xml:space="preserve">all modules, ci.yml</w:t>
            </w:r>
          </w:p>
        </w:tc>
      </w:tr>
      <w:tr>
        <w:tc>
          <w:tcPr>
            <w:tcW w:w="2340" w:type="dxa"/>
          </w:tcPr>
          <w:p>
            <w:pPr/>
            <w:r>
              <w:t xml:space="preserve">CM-8</w:t>
            </w:r>
          </w:p>
        </w:tc>
        <w:tc>
          <w:tcPr>
            <w:tcW w:w="2340" w:type="dxa"/>
          </w:tcPr>
          <w:p>
            <w:pPr/>
            <w:r>
              <w:t xml:space="preserve">Component inventory</w:t>
            </w:r>
          </w:p>
        </w:tc>
        <w:tc>
          <w:tcPr>
            <w:tcW w:w="2340" w:type="dxa"/>
          </w:tcPr>
          <w:p>
            <w:pPr/>
            <w:r>
              <w:t xml:space="preserve">AWS Config continuous recording</w:t>
            </w:r>
          </w:p>
        </w:tc>
        <w:tc>
          <w:tcPr>
            <w:tcW w:w="2340" w:type="dxa"/>
          </w:tcPr>
          <w:p>
            <w:pPr/>
            <w:r>
              <w:t xml:space="preserve">audit_logging</w:t>
            </w:r>
          </w:p>
        </w:tc>
      </w:tr>
      <w:tr>
        <w:tc>
          <w:tcPr>
            <w:tcW w:w="2340" w:type="dxa"/>
          </w:tcPr>
          <w:p>
            <w:pPr/>
            <w:r>
              <w:t xml:space="preserve">CP-2, CP-4</w:t>
            </w:r>
          </w:p>
        </w:tc>
        <w:tc>
          <w:tcPr>
            <w:tcW w:w="2340" w:type="dxa"/>
          </w:tcPr>
          <w:p>
            <w:pPr/>
            <w:r>
              <w:t xml:space="preserve">Contingency plan and testing</w:t>
            </w:r>
          </w:p>
        </w:tc>
        <w:tc>
          <w:tcPr>
            <w:tcW w:w="2340" w:type="dxa"/>
          </w:tcPr>
          <w:p>
            <w:pPr/>
            <w:r>
              <w:t xml:space="preserve">SLOs, recovery table, quarterly game days, yearly regional drill</w:t>
            </w:r>
          </w:p>
        </w:tc>
        <w:tc>
          <w:tcPr>
            <w:tcW w:w="2340" w:type="dxa"/>
          </w:tcPr>
          <w:p>
            <w:pPr/>
            <w:r>
              <w:t xml:space="preserve">observability, this doc</w:t>
            </w:r>
          </w:p>
        </w:tc>
      </w:tr>
      <w:tr>
        <w:tc>
          <w:tcPr>
            <w:tcW w:w="2340" w:type="dxa"/>
          </w:tcPr>
          <w:p>
            <w:pPr/>
            <w:r>
              <w:t xml:space="preserve">CP-6, CP-9, CP-10</w:t>
            </w:r>
          </w:p>
        </w:tc>
        <w:tc>
          <w:tcPr>
            <w:tcW w:w="2340" w:type="dxa"/>
          </w:tcPr>
          <w:p>
            <w:pPr/>
            <w:r>
              <w:t xml:space="preserve">Alternate storage, backup, recovery</w:t>
            </w:r>
          </w:p>
        </w:tc>
        <w:tc>
          <w:tcPr>
            <w:tcW w:w="2340" w:type="dxa"/>
          </w:tcPr>
          <w:p>
            <w:pPr/>
            <w:r>
              <w:t xml:space="preserve">Versioning; cross-region replica with replica key; immutable images</w:t>
            </w:r>
          </w:p>
        </w:tc>
        <w:tc>
          <w:tcPr>
            <w:tcW w:w="2340" w:type="dxa"/>
          </w:tcPr>
          <w:p>
            <w:pPr/>
            <w:r>
              <w:t xml:space="preserve">data_lake, kms</w:t>
            </w:r>
          </w:p>
        </w:tc>
      </w:tr>
      <w:tr>
        <w:tc>
          <w:tcPr>
            <w:tcW w:w="2340" w:type="dxa"/>
          </w:tcPr>
          <w:p>
            <w:pPr/>
            <w:r>
              <w:t xml:space="preserve">IA-2(1), IA-2(2)</w:t>
            </w:r>
          </w:p>
        </w:tc>
        <w:tc>
          <w:tcPr>
            <w:tcW w:w="2340" w:type="dxa"/>
          </w:tcPr>
          <w:p>
            <w:pPr/>
            <w:r>
              <w:t xml:space="preserve">MFA</w:t>
            </w:r>
          </w:p>
        </w:tc>
        <w:tc>
          <w:tcPr>
            <w:tcW w:w="2340" w:type="dxa"/>
          </w:tcPr>
          <w:p>
            <w:pPr/>
            <w:r>
              <w:t xml:space="preserve">IAM Identity Center MFA for AWS; invite-only Cognito pool with MFA required for the dashboard</w:t>
            </w:r>
          </w:p>
        </w:tc>
        <w:tc>
          <w:tcPr>
            <w:tcW w:w="2340" w:type="dxa"/>
          </w:tcPr>
          <w:p>
            <w:pPr/>
            <w:r>
              <w:t xml:space="preserve">account setup, app</w:t>
            </w:r>
          </w:p>
        </w:tc>
      </w:tr>
      <w:tr>
        <w:tc>
          <w:tcPr>
            <w:tcW w:w="2340" w:type="dxa"/>
          </w:tcPr>
          <w:p>
            <w:pPr/>
            <w:r>
              <w:t xml:space="preserve">IA-5</w:t>
            </w:r>
          </w:p>
        </w:tc>
        <w:tc>
          <w:tcPr>
            <w:tcW w:w="2340" w:type="dxa"/>
          </w:tcPr>
          <w:p>
            <w:pPr/>
            <w:r>
              <w:t xml:space="preserve">Authenticator management</w:t>
            </w:r>
          </w:p>
        </w:tc>
        <w:tc>
          <w:tcPr>
            <w:tcW w:w="2340" w:type="dxa"/>
          </w:tcPr>
          <w:p>
            <w:pPr/>
            <w:r>
              <w:t xml:space="preserve">No long-lived CI keys (OIDC); API keys in SSM with the data key, rotated every 90–365 days with daily reminders; IAM password policy</w:t>
            </w:r>
          </w:p>
        </w:tc>
        <w:tc>
          <w:tcPr>
            <w:tcW w:w="2340" w:type="dxa"/>
          </w:tcPr>
          <w:p>
            <w:pPr/>
            <w:r>
              <w:t xml:space="preserve">ci.yml, security_services, api_keys</w:t>
            </w:r>
          </w:p>
        </w:tc>
      </w:tr>
      <w:tr>
        <w:tc>
          <w:tcPr>
            <w:tcW w:w="2340" w:type="dxa"/>
          </w:tcPr>
          <w:p>
            <w:pPr/>
            <w:r>
              <w:t xml:space="preserve">IR-4, IR-5, IR-6</w:t>
            </w:r>
          </w:p>
        </w:tc>
        <w:tc>
          <w:tcPr>
            <w:tcW w:w="2340" w:type="dxa"/>
          </w:tcPr>
          <w:p>
            <w:pPr/>
            <w:r>
              <w:t xml:space="preserve">Incident handling and reporting</w:t>
            </w:r>
          </w:p>
        </w:tc>
        <w:tc>
          <w:tcPr>
            <w:tcW w:w="2340" w:type="dxa"/>
          </w:tcPr>
          <w:p>
            <w:pPr/>
            <w:r>
              <w:t xml:space="preserve">GuardDuty + EventBridge → security email; review template</w:t>
            </w:r>
          </w:p>
        </w:tc>
        <w:tc>
          <w:tcPr>
            <w:tcW w:w="2340" w:type="dxa"/>
          </w:tcPr>
          <w:p>
            <w:pPr/>
            <w:r>
              <w:t xml:space="preserve">alerting, security_services</w:t>
            </w:r>
          </w:p>
        </w:tc>
      </w:tr>
      <w:tr>
        <w:tc>
          <w:tcPr>
            <w:tcW w:w="2340" w:type="dxa"/>
          </w:tcPr>
          <w:p>
            <w:pPr/>
            <w:r>
              <w:t xml:space="preserve">RA-5, SI-2</w:t>
            </w:r>
          </w:p>
        </w:tc>
        <w:tc>
          <w:tcPr>
            <w:tcW w:w="2340" w:type="dxa"/>
          </w:tcPr>
          <w:p>
            <w:pPr/>
            <w:r>
              <w:t xml:space="preserve">Vulnerability scanning, flaw fixes</w:t>
            </w:r>
          </w:p>
        </w:tc>
        <w:tc>
          <w:tcPr>
            <w:tcW w:w="2340" w:type="dxa"/>
          </w:tcPr>
          <w:p>
            <w:pPr/>
            <w:r>
              <w:t xml:space="preserve">Inspector on image and functions; pip-audit and Checkov in CI</w:t>
            </w:r>
          </w:p>
        </w:tc>
        <w:tc>
          <w:tcPr>
            <w:tcW w:w="2340" w:type="dxa"/>
          </w:tcPr>
          <w:p>
            <w:pPr/>
            <w:r>
              <w:t xml:space="preserve">security_services, ci.yml</w:t>
            </w:r>
          </w:p>
        </w:tc>
      </w:tr>
      <w:tr>
        <w:tc>
          <w:tcPr>
            <w:tcW w:w="2340" w:type="dxa"/>
          </w:tcPr>
          <w:p>
            <w:pPr/>
            <w:r>
              <w:t xml:space="preserve">SC-8</w:t>
            </w:r>
          </w:p>
        </w:tc>
        <w:tc>
          <w:tcPr>
            <w:tcW w:w="2340" w:type="dxa"/>
          </w:tcPr>
          <w:p>
            <w:pPr/>
            <w:r>
              <w:t xml:space="preserve">Encryption in transit</w:t>
            </w:r>
          </w:p>
        </w:tc>
        <w:tc>
          <w:tcPr>
            <w:tcW w:w="2340" w:type="dxa"/>
          </w:tcPr>
          <w:p>
            <w:pPr/>
            <w:r>
              <w:t xml:space="preserve">TLS 1.2+ enforced on S3, SQS, SNS; CloudFront TLS 1.2 policy</w:t>
            </w:r>
          </w:p>
        </w:tc>
        <w:tc>
          <w:tcPr>
            <w:tcW w:w="2340" w:type="dxa"/>
          </w:tcPr>
          <w:p>
            <w:pPr/>
            <w:r>
              <w:t xml:space="preserve">data_lake, alerting, app</w:t>
            </w:r>
          </w:p>
        </w:tc>
      </w:tr>
      <w:tr>
        <w:tc>
          <w:tcPr>
            <w:tcW w:w="2340" w:type="dxa"/>
          </w:tcPr>
          <w:p>
            <w:pPr/>
            <w:r>
              <w:t xml:space="preserve">SC-12, SC-13, SC-28</w:t>
            </w:r>
          </w:p>
        </w:tc>
        <w:tc>
          <w:tcPr>
            <w:tcW w:w="2340" w:type="dxa"/>
          </w:tcPr>
          <w:p>
            <w:pPr/>
            <w:r>
              <w:t xml:space="preserve">Keys, FIPS crypto, encryption at rest</w:t>
            </w:r>
          </w:p>
        </w:tc>
        <w:tc>
          <w:tcPr>
            <w:tcW w:w="2340" w:type="dxa"/>
          </w:tcPr>
          <w:p>
            <w:pPr/>
            <w:r>
              <w:t xml:space="preserve">Customer-managed KMS keys rotated yearly; FIPS endpoints for app calls</w:t>
            </w:r>
          </w:p>
        </w:tc>
        <w:tc>
          <w:tcPr>
            <w:tcW w:w="2340" w:type="dxa"/>
          </w:tcPr>
          <w:p>
            <w:pPr/>
            <w:r>
              <w:t xml:space="preserve">kms, outputs</w:t>
            </w:r>
          </w:p>
        </w:tc>
      </w:tr>
      <w:tr>
        <w:tc>
          <w:tcPr>
            <w:tcW w:w="2340" w:type="dxa"/>
          </w:tcPr>
          <w:p>
            <w:pPr/>
            <w:r>
              <w:t xml:space="preserve">SI-3</w:t>
            </w:r>
          </w:p>
        </w:tc>
        <w:tc>
          <w:tcPr>
            <w:tcW w:w="2340" w:type="dxa"/>
          </w:tcPr>
          <w:p>
            <w:pPr/>
            <w:r>
              <w:t xml:space="preserve">Malicious code protection</w:t>
            </w:r>
          </w:p>
        </w:tc>
        <w:tc>
          <w:tcPr>
            <w:tcW w:w="2340" w:type="dxa"/>
          </w:tcPr>
          <w:p>
            <w:pPr/>
            <w:r>
              <w:t xml:space="preserve">GuardDuty Malware Protection scans downloads in </w:t>
            </w:r>
            <w:r>
              <w:rPr>
                <w:rStyle w:val="CodeChar"/>
              </w:rPr>
              <w:t xml:space="preserve">raw/</w:t>
            </w:r>
          </w:p>
        </w:tc>
        <w:tc>
          <w:tcPr>
            <w:tcW w:w="2340" w:type="dxa"/>
          </w:tcPr>
          <w:p>
            <w:pPr/>
            <w:r>
              <w:t xml:space="preserve">security_services</w:t>
            </w:r>
          </w:p>
        </w:tc>
      </w:tr>
      <w:tr>
        <w:tc>
          <w:tcPr>
            <w:tcW w:w="2340" w:type="dxa"/>
          </w:tcPr>
          <w:p>
            <w:pPr/>
            <w:r>
              <w:t xml:space="preserve">SI-4</w:t>
            </w:r>
          </w:p>
        </w:tc>
        <w:tc>
          <w:tcPr>
            <w:tcW w:w="2340" w:type="dxa"/>
          </w:tcPr>
          <w:p>
            <w:pPr/>
            <w:r>
              <w:t xml:space="preserve">System monitoring</w:t>
            </w:r>
          </w:p>
        </w:tc>
        <w:tc>
          <w:tcPr>
            <w:tcW w:w="2340" w:type="dxa"/>
          </w:tcPr>
          <w:p>
            <w:pPr/>
            <w:r>
              <w:t xml:space="preserve">GuardDuty, alarms, external canary, AWS Health events</w:t>
            </w:r>
          </w:p>
        </w:tc>
        <w:tc>
          <w:tcPr>
            <w:tcW w:w="2340" w:type="dxa"/>
          </w:tcPr>
          <w:p>
            <w:pPr/>
            <w:r>
              <w:t xml:space="preserve">security_services, observability, alerting</w:t>
            </w:r>
          </w:p>
        </w:tc>
      </w:tr>
      <w:tr>
        <w:tc>
          <w:tcPr>
            <w:tcW w:w="2340" w:type="dxa"/>
          </w:tcPr>
          <w:p>
            <w:pPr/>
            <w:r>
              <w:t xml:space="preserve">SI-7</w:t>
            </w:r>
          </w:p>
        </w:tc>
        <w:tc>
          <w:tcPr>
            <w:tcW w:w="2340" w:type="dxa"/>
          </w:tcPr>
          <w:p>
            <w:pPr/>
            <w:r>
              <w:t xml:space="preserve">Integrity</w:t>
            </w:r>
          </w:p>
        </w:tc>
        <w:tc>
          <w:tcPr>
            <w:tcW w:w="2340" w:type="dxa"/>
          </w:tcPr>
          <w:p>
            <w:pPr/>
            <w:r>
              <w:t xml:space="preserve">CloudTrail digest validation; immutable image tags</w:t>
            </w:r>
          </w:p>
        </w:tc>
        <w:tc>
          <w:tcPr>
            <w:tcW w:w="2340" w:type="dxa"/>
          </w:tcPr>
          <w:p>
            <w:pPr/>
            <w:r>
              <w:t xml:space="preserve">audit_logging, data_lake</w:t>
            </w:r>
          </w:p>
        </w:tc>
      </w:tr>
      <w:tr>
        <w:tc>
          <w:tcPr>
            <w:tcW w:w="2340" w:type="dxa"/>
          </w:tcPr>
          <w:p>
            <w:pPr/>
            <w:r>
              <w:t xml:space="preserve">SI-11</w:t>
            </w:r>
          </w:p>
        </w:tc>
        <w:tc>
          <w:tcPr>
            <w:tcW w:w="2340" w:type="dxa"/>
          </w:tcPr>
          <w:p>
            <w:pPr/>
            <w:r>
              <w:t xml:space="preserve">Error handling</w:t>
            </w:r>
          </w:p>
        </w:tc>
        <w:tc>
          <w:tcPr>
            <w:tcW w:w="2340" w:type="dxa"/>
          </w:tcPr>
          <w:p>
            <w:pPr/>
            <w:r>
              <w:t xml:space="preserve">Dead-letter queue; errors logged by type without secrets</w:t>
            </w:r>
          </w:p>
        </w:tc>
        <w:tc>
          <w:tcPr>
            <w:tcW w:w="2340" w:type="dxa"/>
          </w:tcPr>
          <w:p>
            <w:pPr/>
            <w:r>
              <w:t xml:space="preserve">data_lake, app</w:t>
            </w:r>
          </w:p>
        </w:tc>
      </w:tr>
    </w:tbl>
    <w:p>
      <w:pPr>
        <w:pStyle w:val="Heading3"/>
      </w:pPr>
      <w:r>
        <w:t xml:space="preserve">Cost of the Moderate controls</w:t>
      </w:r>
    </w:p>
    <w:p>
      <w:pPr/>
      <w:r>
        <w:drawing>
          <wp:inline distT="0" distB="0" distL="0" distR="0">
            <wp:extent cx="5486400" cy="4482192"/>
            <wp:docPr id="2" name="image2" descr="AWS list prices, us-east-1, checked 3 Oct 2026 · usage estimated from the data catalog"/>
            <a:graphic xmlns:a="http://schemas.openxmlformats.org/drawingml/2006/main">
              <a:graphicData uri="http://schemas.openxmlformats.org/drawingml/2006/picture">
                <pic:pic xmlns:pic="http://schemas.openxmlformats.org/drawingml/2006/picture">
                  <pic:nvPicPr>
                    <pic:cNvPr id="2" name="image2" descr="AWS list prices, us-east-1, checked 3 Oct 2026 · usage estimated from the data catalog"/>
                    <pic:cNvPicPr/>
                  </pic:nvPicPr>
                  <pic:blipFill>
                    <a:blip r:embed="rId42"/>
                    <a:stretch>
                      <a:fillRect/>
                    </a:stretch>
                  </pic:blipFill>
                  <pic:spPr>
                    <a:xfrm>
                      <a:off x="0" y="0"/>
                      <a:ext cx="5486400" cy="4482192"/>
                    </a:xfrm>
                    <a:prstGeom prst="rect">
                      <a:avLst/>
                    </a:prstGeom>
                  </pic:spPr>
                </pic:pic>
              </a:graphicData>
            </a:graphic>
          </wp:inline>
        </w:drawing>
      </w:r>
    </w:p>
    <w:p>
      <w:pPr/>
      <w:r>
        <w:t xml:space="preserve">AWS list prices, us-east-1, checked 3 Oct 2026 · usage estimated from the data catalog</w:t>
      </w:r>
    </w:p>
    <w:p>
      <w:pPr/>
      <w:r>
        <w:t xml:space="preserve">Security Hub and Config costs scale with how often resources change, so batching deploys keeps them near the low end. Updated levers: hourly canary checks save ~$2.50; turning off malware scanning saves ~$1.10 but leaves an SI-3 gap. The $40 budget alert gives headroom above the high estimate.</w:t>
      </w:r>
    </w:p>
    <w:p>
      <w:pPr/>
      <w:r>
        <w:t xml:space="preserve">Price sources: </w:t>
      </w:r>
      <w:hyperlink r:id="rId43" w:history="1">
        <w:r>
          <w:rPr>
            <w:rStyle w:val="Hyperlink"/>
          </w:rPr>
          <w:t xml:space="preserve">GuardDuty</w:t>
        </w:r>
      </w:hyperlink>
      <w:r>
        <w:t xml:space="preserve">, </w:t>
      </w:r>
      <w:hyperlink r:id="rId44" w:history="1">
        <w:r>
          <w:rPr>
            <w:rStyle w:val="Hyperlink"/>
          </w:rPr>
          <w:t xml:space="preserve">Security Hub CSPM</w:t>
        </w:r>
      </w:hyperlink>
      <w:r>
        <w:t xml:space="preserve">, </w:t>
      </w:r>
      <w:hyperlink r:id="rId45" w:history="1">
        <w:r>
          <w:rPr>
            <w:rStyle w:val="Hyperlink"/>
          </w:rPr>
          <w:t xml:space="preserve">Config</w:t>
        </w:r>
      </w:hyperlink>
      <w:r>
        <w:t xml:space="preserve">, </w:t>
      </w:r>
      <w:hyperlink r:id="rId46" w:history="1">
        <w:r>
          <w:rPr>
            <w:rStyle w:val="Hyperlink"/>
          </w:rPr>
          <w:t xml:space="preserve">Inspector</w:t>
        </w:r>
      </w:hyperlink>
      <w:r>
        <w:t xml:space="preserve">, </w:t>
      </w:r>
      <w:hyperlink r:id="rId47" w:history="1">
        <w:r>
          <w:rPr>
            <w:rStyle w:val="Hyperlink"/>
          </w:rPr>
          <w:t xml:space="preserve">KMS</w:t>
        </w:r>
      </w:hyperlink>
      <w:r>
        <w:t xml:space="preserve">, </w:t>
      </w:r>
      <w:hyperlink r:id="rId48" w:history="1">
        <w:r>
          <w:rPr>
            <w:rStyle w:val="Hyperlink"/>
          </w:rPr>
          <w:t xml:space="preserve">CloudTrail</w:t>
        </w:r>
      </w:hyperlink>
      <w:r>
        <w:t xml:space="preserve">, </w:t>
      </w:r>
      <w:hyperlink r:id="rId49" w:history="1">
        <w:r>
          <w:rPr>
            <w:rStyle w:val="Hyperlink"/>
          </w:rPr>
          <w:t xml:space="preserve">Synthetics</w:t>
        </w:r>
      </w:hyperlink>
      <w:r>
        <w:t xml:space="preserve">, </w:t>
      </w:r>
      <w:hyperlink r:id="rId50" w:history="1">
        <w:r>
          <w:rPr>
            <w:rStyle w:val="Hyperlink"/>
          </w:rPr>
          <w:t xml:space="preserve">X-Ray</w:t>
        </w:r>
      </w:hyperlink>
      <w:r>
        <w:t xml:space="preserve">, </w:t>
      </w:r>
      <w:hyperlink r:id="rId7" w:history="1">
        <w:r>
          <w:rPr>
            <w:rStyle w:val="Hyperlink"/>
          </w:rPr>
          <w:t xml:space="preserve">EventBridge</w:t>
        </w:r>
      </w:hyperlink>
      <w:r>
        <w:t xml:space="preserve">, </w:t>
      </w:r>
      <w:hyperlink r:id="rId10" w:history="1">
        <w:r>
          <w:rPr>
            <w:rStyle w:val="Hyperlink"/>
          </w:rPr>
          <w:t xml:space="preserve">Cognito</w:t>
        </w:r>
      </w:hyperlink>
      <w:r>
        <w:t xml:space="preserve">.</w:t>
      </w:r>
    </w:p>
    <w:p>
      <w:pPr>
        <w:pStyle w:val="Heading3"/>
      </w:pPr>
      <w:r>
        <w:t xml:space="preserve">Terraform starter</w:t>
      </w:r>
    </w:p>
    <w:p>
      <w:pPr/>
      <w:r>
        <w:t xml:space="preserve">The starter (</w:t>
      </w:r>
      <w:r>
        <w:rPr>
          <w:rStyle w:val="CodeChar"/>
        </w:rPr>
        <w:t xml:space="preserve">investor-dashboard-infra.zip</w:t>
      </w:r>
      <w:r>
        <w:t xml:space="preserve">, AWS provider 6.x) deploys everything in this section except the CloudFront site and the H1–A1 collector Lambdas (their adapters are in `app/collectors/`). Those plug into its outputs.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 or file</w:t>
            </w:r>
          </w:p>
        </w:tc>
        <w:tc>
          <w:tcPr>
            <w:tcW w:w="4680" w:type="dxa"/>
            <w:shd w:val="clear" w:color="auto" w:fill="F2F2F2"/>
          </w:tcPr>
          <w:p>
            <w:pPr/>
            <w:r>
              <w:t xml:space="preserve">Creates</w:t>
            </w:r>
          </w:p>
        </w:tc>
      </w:tr>
      <w:tr>
        <w:tc>
          <w:tcPr>
            <w:tcW w:w="4680" w:type="dxa"/>
          </w:tcPr>
          <w:p>
            <w:pPr/>
            <w:r>
              <w:rPr>
                <w:rStyle w:val="CodeChar"/>
              </w:rPr>
              <w:t xml:space="preserve">kms</w:t>
            </w:r>
          </w:p>
        </w:tc>
        <w:tc>
          <w:tcPr>
            <w:tcW w:w="4680" w:type="dxa"/>
          </w:tcPr>
          <w:p>
            <w:pPr/>
            <w:r>
              <w:t xml:space="preserve">Data key (multi-Region, with a us-west-2 replica) and a separate audit key, rotated yearly</w:t>
            </w:r>
          </w:p>
        </w:tc>
      </w:tr>
      <w:tr>
        <w:tc>
          <w:tcPr>
            <w:tcW w:w="4680" w:type="dxa"/>
          </w:tcPr>
          <w:p>
            <w:pPr/>
            <w:r>
              <w:rPr>
                <w:rStyle w:val="CodeChar"/>
              </w:rPr>
              <w:t xml:space="preserve">data_lake</w:t>
            </w:r>
          </w:p>
        </w:tc>
        <w:tc>
          <w:tcPr>
            <w:tcW w:w="4680" w:type="dxa"/>
          </w:tcPr>
          <w:p>
            <w:pPr/>
            <w:r>
              <w:t xml:space="preserve">Lake bucket with versioning, KMS and TLS-only access, replicated to us-west-2; job dead-letter queue; ECR repo with immutable tags</w:t>
            </w:r>
          </w:p>
        </w:tc>
      </w:tr>
      <w:tr>
        <w:tc>
          <w:tcPr>
            <w:tcW w:w="4680" w:type="dxa"/>
          </w:tcPr>
          <w:p>
            <w:pPr/>
            <w:r>
              <w:rPr>
                <w:rStyle w:val="CodeChar"/>
              </w:rPr>
              <w:t xml:space="preserve">audit_logging</w:t>
            </w:r>
          </w:p>
        </w:tc>
        <w:tc>
          <w:tcPr>
            <w:tcW w:w="4680" w:type="dxa"/>
          </w:tcPr>
          <w:p>
            <w:pPr/>
            <w:r>
              <w:t xml:space="preserve">CloudTrail with data events, validation and Insights; AWS Config; Object-Locked audit bucket</w:t>
            </w:r>
          </w:p>
        </w:tc>
      </w:tr>
      <w:tr>
        <w:tc>
          <w:tcPr>
            <w:tcW w:w="4680" w:type="dxa"/>
          </w:tcPr>
          <w:p>
            <w:pPr/>
            <w:r>
              <w:rPr>
                <w:rStyle w:val="CodeChar"/>
              </w:rPr>
              <w:t xml:space="preserve">security_services</w:t>
            </w:r>
          </w:p>
        </w:tc>
        <w:tc>
          <w:tcPr>
            <w:tcW w:w="4680" w:type="dxa"/>
          </w:tcPr>
          <w:p>
            <w:pPr/>
            <w:r>
              <w:t xml:space="preserve">GuardDuty with S3, Lambda and malware protection; Security Hub NIST 800-53 Rev 5; Inspector; Access Analyzer; account guardrails</w:t>
            </w:r>
          </w:p>
        </w:tc>
      </w:tr>
      <w:tr>
        <w:tc>
          <w:tcPr>
            <w:tcW w:w="4680" w:type="dxa"/>
          </w:tcPr>
          <w:p>
            <w:pPr/>
            <w:r>
              <w:rPr>
                <w:rStyle w:val="CodeChar"/>
              </w:rPr>
              <w:t xml:space="preserve">alerting</w:t>
            </w:r>
          </w:p>
        </w:tc>
        <w:tc>
          <w:tcPr>
            <w:tcW w:w="4680" w:type="dxa"/>
          </w:tcPr>
          <w:p>
            <w:pPr/>
            <w:r>
              <w:t xml:space="preserve">Encrypted ops and security topics; 9 EventBridge rules, including API key changes</w:t>
            </w:r>
          </w:p>
        </w:tc>
      </w:tr>
      <w:tr>
        <w:tc>
          <w:tcPr>
            <w:tcW w:w="4680" w:type="dxa"/>
          </w:tcPr>
          <w:p>
            <w:pPr/>
            <w:r>
              <w:rPr>
                <w:rStyle w:val="CodeChar"/>
              </w:rPr>
              <w:t xml:space="preserve">observability</w:t>
            </w:r>
          </w:p>
        </w:tc>
        <w:tc>
          <w:tcPr>
            <w:tcW w:w="4680" w:type="dxa"/>
          </w:tcPr>
          <w:p>
            <w:pPr/>
            <w:r>
              <w:t xml:space="preserve">Log groups, saved queries, alarms with SLO burn rates, 2 dashboards, canary, $40 budget</w:t>
            </w:r>
          </w:p>
        </w:tc>
      </w:tr>
      <w:tr>
        <w:tc>
          <w:tcPr>
            <w:tcW w:w="4680" w:type="dxa"/>
          </w:tcPr>
          <w:p>
            <w:pPr/>
            <w:r>
              <w:rPr>
                <w:rStyle w:val="CodeChar"/>
              </w:rPr>
              <w:t xml:space="preserve">api_keys</w:t>
            </w:r>
          </w:p>
        </w:tc>
        <w:tc>
          <w:tcPr>
            <w:tcW w:w="4680" w:type="dxa"/>
          </w:tcPr>
          <w:p>
            <w:pPr/>
            <w:r>
              <w:t xml:space="preserve">14 SSM SecureStrings with rotation periods (now including FINRA); daily 8:00 PT check that emails reminders</w:t>
            </w:r>
          </w:p>
        </w:tc>
      </w:tr>
      <w:tr>
        <w:tc>
          <w:tcPr>
            <w:tcW w:w="4680" w:type="dxa"/>
          </w:tcPr>
          <w:p>
            <w:pPr/>
            <w:r>
              <w:rPr>
                <w:rStyle w:val="CodeChar"/>
              </w:rPr>
              <w:t xml:space="preserve">site_auth</w:t>
            </w:r>
          </w:p>
        </w:tc>
        <w:tc>
          <w:tcPr>
            <w:tcW w:w="4680" w:type="dxa"/>
          </w:tcPr>
          <w:p>
            <w:pPr/>
            <w:r>
              <w:t xml:space="preserve">Invite-only Cognito user pool (Plus, MFA required) and PKCE web client</w:t>
            </w:r>
          </w:p>
        </w:tc>
      </w:tr>
      <w:tr>
        <w:tc>
          <w:tcPr>
            <w:tcW w:w="4680" w:type="dxa"/>
          </w:tcPr>
          <w:p>
            <w:pPr/>
            <w:r>
              <w:rPr>
                <w:rStyle w:val="CodeChar"/>
              </w:rPr>
              <w:t xml:space="preserve">user_prefs</w:t>
            </w:r>
          </w:p>
        </w:tc>
        <w:tc>
          <w:tcPr>
            <w:tcW w:w="4680" w:type="dxa"/>
          </w:tcPr>
          <w:p>
            <w:pPr/>
            <w:r>
              <w:t xml:space="preserve">DynamoDB prefs table, site API (</w:t>
            </w:r>
            <w:r>
              <w:rPr>
                <w:rStyle w:val="CodeChar"/>
              </w:rPr>
              <w:t xml:space="preserve">GET/PUT /prefs</w:t>
            </w:r>
            <w:r>
              <w:t xml:space="preserve">, JWT authorizer), per-user isolation role, collector read policy, 5xx alarm</w:t>
            </w:r>
          </w:p>
        </w:tc>
      </w:tr>
      <w:tr>
        <w:tc>
          <w:tcPr>
            <w:tcW w:w="4680" w:type="dxa"/>
          </w:tcPr>
          <w:p>
            <w:pPr/>
            <w:r>
              <w:rPr>
                <w:rStyle w:val="CodeChar"/>
              </w:rPr>
              <w:t xml:space="preserve">jobs</w:t>
            </w:r>
          </w:p>
        </w:tc>
        <w:tc>
          <w:tcPr>
            <w:tcW w:w="4680" w:type="dxa"/>
          </w:tcPr>
          <w:p>
            <w:pPr/>
            <w:r>
              <w:t xml:space="preserve">Six container-image job Lambdas with their own roles, schedules (ET), event triggers and DLQ; created once </w:t>
            </w:r>
            <w:r>
              <w:rPr>
                <w:rStyle w:val="CodeChar"/>
              </w:rPr>
              <w:t xml:space="preserve">jobs_image_uri</w:t>
            </w:r>
            <w:r>
              <w:t xml:space="preserve"> is set</w:t>
            </w:r>
          </w:p>
        </w:tc>
      </w:tr>
      <w:tr>
        <w:tc>
          <w:tcPr>
            <w:tcW w:w="4680" w:type="dxa"/>
          </w:tcPr>
          <w:p>
            <w:pPr/>
            <w:r>
              <w:rPr>
                <w:rStyle w:val="CodeChar"/>
              </w:rPr>
              <w:t xml:space="preserve">app/</w:t>
            </w:r>
          </w:p>
        </w:tc>
        <w:tc>
          <w:tcPr>
            <w:tcW w:w="4680" w:type="dxa"/>
          </w:tcPr>
          <w:p>
            <w:pPr/>
            <w:r>
              <w:t xml:space="preserve">Observability, API key reader, HTTP allowlist, ticker universe, lake helpers, status feed, collectors (Alpaca, FINRA, Kalshi, Fed sources, Yahoo)</w:t>
            </w:r>
          </w:p>
        </w:tc>
      </w:tr>
      <w:tr>
        <w:tc>
          <w:tcPr>
            <w:tcW w:w="4680" w:type="dxa"/>
          </w:tcPr>
          <w:p>
            <w:pPr/>
            <w:r>
              <w:rPr>
                <w:rStyle w:val="CodeChar"/>
              </w:rPr>
              <w:t xml:space="preserve">functions/</w:t>
            </w:r>
          </w:p>
        </w:tc>
        <w:tc>
          <w:tcPr>
            <w:tcW w:w="4680" w:type="dxa"/>
          </w:tcPr>
          <w:p>
            <w:pPr/>
            <w:r>
              <w:t xml:space="preserve">trend_metrics, q1_fundamentals, short_interest, options_daily, backfill, status_feed, prefs_api, key_rotation_check</w:t>
            </w:r>
          </w:p>
        </w:tc>
      </w:tr>
      <w:tr>
        <w:tc>
          <w:tcPr>
            <w:tcW w:w="4680" w:type="dxa"/>
          </w:tcPr>
          <w:p>
            <w:pPr/>
            <w:r>
              <w:rPr>
                <w:rStyle w:val="CodeChar"/>
              </w:rPr>
              <w:t xml:space="preserve">Dockerfile</w:t>
            </w:r>
            <w:r>
              <w:t xml:space="preserve">, </w:t>
            </w:r>
            <w:r>
              <w:rPr>
                <w:rStyle w:val="CodeChar"/>
              </w:rPr>
              <w:t xml:space="preserve">requirements-jobs.txt</w:t>
            </w:r>
          </w:p>
        </w:tc>
        <w:tc>
          <w:tcPr>
            <w:tcW w:w="4680" w:type="dxa"/>
          </w:tcPr>
          <w:p>
            <w:pPr/>
            <w:r>
              <w:t xml:space="preserve">One arm64 job image</w:t>
            </w:r>
          </w:p>
        </w:tc>
      </w:tr>
      <w:tr>
        <w:tc>
          <w:tcPr>
            <w:tcW w:w="4680" w:type="dxa"/>
          </w:tcPr>
          <w:p>
            <w:pPr/>
            <w:r>
              <w:rPr>
                <w:rStyle w:val="CodeChar"/>
              </w:rPr>
              <w:t xml:space="preserve">tests/</w:t>
            </w:r>
          </w:p>
        </w:tc>
        <w:tc>
          <w:tcPr>
            <w:tcW w:w="4680" w:type="dxa"/>
          </w:tcPr>
          <w:p>
            <w:pPr/>
            <w:r>
              <w:t xml:space="preserve">39 pytest tests: trend formulas, XBRL quarters, prefs isolation and validation, collector parsers, status feed, allowlist</w:t>
            </w:r>
          </w:p>
        </w:tc>
      </w:tr>
      <w:tr>
        <w:tc>
          <w:tcPr>
            <w:tcW w:w="4680" w:type="dxa"/>
          </w:tcPr>
          <w:p>
            <w:pPr/>
            <w:r>
              <w:rPr>
                <w:rStyle w:val="CodeChar"/>
              </w:rPr>
              <w:t xml:space="preserve">scripts/</w:t>
            </w:r>
          </w:p>
        </w:tc>
        <w:tc>
          <w:tcPr>
            <w:tcW w:w="4680" w:type="dxa"/>
          </w:tcPr>
          <w:p>
            <w:pPr/>
            <w:r>
              <w:rPr>
                <w:rStyle w:val="CodeChar"/>
              </w:rPr>
              <w:t xml:space="preserve">rotate-key.sh</w:t>
            </w:r>
            <w:r>
              <w:t xml:space="preserve">, </w:t>
            </w:r>
            <w:r>
              <w:rPr>
                <w:rStyle w:val="CodeChar"/>
              </w:rPr>
              <w:t xml:space="preserve">add_fundamental.py</w:t>
            </w:r>
          </w:p>
        </w:tc>
      </w:tr>
      <w:tr>
        <w:tc>
          <w:tcPr>
            <w:tcW w:w="4680" w:type="dxa"/>
          </w:tcPr>
          <w:p>
            <w:pPr/>
            <w:r>
              <w:rPr>
                <w:rStyle w:val="CodeChar"/>
              </w:rPr>
              <w:t xml:space="preserve">.github/workflows/ci.yml</w:t>
            </w:r>
          </w:p>
        </w:tc>
        <w:tc>
          <w:tcPr>
            <w:tcW w:w="4680" w:type="dxa"/>
          </w:tcPr>
          <w:p>
            <w:pPr/>
            <w:r>
              <w:t xml:space="preserve">fmt, validate, Checkov, ruff, pytest, shellcheck, pip-audit; arm64 image build; approval-gated apply through OIDC</w:t>
            </w:r>
          </w:p>
        </w:tc>
      </w:tr>
    </w:tbl>
    <w:p>
      <w:pPr/>
      <w:r>
        <w:t xml:space="preserve">Before the first apply:</w:t>
      </w:r>
    </w:p>
    <w:p>
      <w:pPr>
        <w:pStyle w:val="ListParagraph"/>
        <w:numPr>
          <w:ilvl w:val="0"/>
          <w:numId w:val="18"/>
        </w:numPr>
      </w:pPr>
      <w:r>
        <w:t xml:space="preserve">Use a Paid-plan AWS account and sign in through IAM Identity Center with MFA.</w:t>
      </w:r>
    </w:p>
    <w:p>
      <w:pPr>
        <w:pStyle w:val="ListParagraph"/>
        <w:numPr>
          <w:ilvl w:val="0"/>
          <w:numId w:val="18"/>
        </w:numPr>
      </w:pPr>
      <w:r>
        <w:t xml:space="preserve">Import any existing Config recorder, GuardDuty detector or Security Hub account; only one of each is allowed per region.</w:t>
      </w:r>
    </w:p>
    <w:p>
      <w:pPr>
        <w:pStyle w:val="ListParagraph"/>
        <w:numPr>
          <w:ilvl w:val="0"/>
          <w:numId w:val="18"/>
        </w:numPr>
      </w:pPr>
      <w:r>
        <w:t xml:space="preserve">Run </w:t>
      </w:r>
      <w:r>
        <w:rPr>
          <w:rStyle w:val="CodeChar"/>
        </w:rPr>
        <w:t xml:space="preserve">terraform fmt -recursive</w:t>
      </w:r>
      <w:r>
        <w:t xml:space="preserve"> and </w:t>
      </w:r>
      <w:r>
        <w:rPr>
          <w:rStyle w:val="CodeChar"/>
        </w:rPr>
        <w:t xml:space="preserve">terraform validate</w:t>
      </w:r>
      <w:r>
        <w:t xml:space="preserve">. I couldn't download the Terraform binary in my workspace, so the code was checked with an HCL parser, a cross-reference script and a smoke test of the Python helper.</w:t>
      </w:r>
    </w:p>
    <w:p>
      <w:pPr>
        <w:pStyle w:val="ListParagraph"/>
        <w:numPr>
          <w:ilvl w:val="0"/>
          <w:numId w:val="18"/>
        </w:numPr>
      </w:pPr>
      <w:r>
        <w:t xml:space="preserve">Set </w:t>
      </w:r>
      <w:r>
        <w:rPr>
          <w:rStyle w:val="CodeChar"/>
        </w:rPr>
        <w:t xml:space="preserve">alert_emails</w:t>
      </w:r>
      <w:r>
        <w:t xml:space="preserve">, apply, and confirm the subscription emails. Add </w:t>
      </w:r>
      <w:r>
        <w:rPr>
          <w:rStyle w:val="CodeChar"/>
        </w:rPr>
        <w:t xml:space="preserve">health_url</w:t>
      </w:r>
      <w:r>
        <w:t xml:space="preserve"> once the site is live to turn on the canary.</w:t>
      </w:r>
    </w:p>
    <w:p>
      <w:pPr/>
      <w:r>
        <w:t xml:space="preserve">Expect security alerts during your own deploys (key policy and trail updates count as changes); that is the change-control audit trail working.</w:t>
      </w:r>
    </w:p>
    <w:p>
      <w:pPr>
        <w:pStyle w:val="Heading2"/>
      </w:pPr>
      <w:r>
        <w:t xml:space="preserve">Roadmap and scaling path</w:t>
      </w:r>
    </w:p>
    <w:p>
      <w:pPr/>
      <w:r>
        <w:drawing>
          <wp:inline distT="0" distB="0" distL="0" distR="0">
            <wp:extent cx="5486400" cy="2073728"/>
            <wp:docPr id="3" name="image3" descr="phased roadmap · weeks from start, not to scale"/>
            <a:graphic xmlns:a="http://schemas.openxmlformats.org/drawingml/2006/main">
              <a:graphicData uri="http://schemas.openxmlformats.org/drawingml/2006/picture">
                <pic:pic xmlns:pic="http://schemas.openxmlformats.org/drawingml/2006/picture">
                  <pic:nvPicPr>
                    <pic:cNvPr id="3" name="image3" descr="phased roadmap · weeks from start, not to scale"/>
                    <pic:cNvPicPr/>
                  </pic:nvPicPr>
                  <pic:blipFill>
                    <a:blip r:embed="rId51"/>
                    <a:stretch>
                      <a:fillRect/>
                    </a:stretch>
                  </pic:blipFill>
                  <pic:spPr>
                    <a:xfrm>
                      <a:off x="0" y="0"/>
                      <a:ext cx="5486400" cy="2073728"/>
                    </a:xfrm>
                    <a:prstGeom prst="rect">
                      <a:avLst/>
                    </a:prstGeom>
                  </pic:spPr>
                </pic:pic>
              </a:graphicData>
            </a:graphic>
          </wp:inline>
        </w:drawing>
      </w:r>
    </w:p>
    <w:p>
      <w:pPr/>
      <w:r>
        <w:t xml:space="preserve">phased roadmap · weeks from start, not to scale</w:t>
      </w:r>
    </w:p>
    <w:p>
      <w:pPr/>
      <w:r>
        <w:t xml:space="preserve">Each phase ships something you can use, and phase 4 happens only if a measured limit is hit. Collectors and the data model stay the same through every phase; scaling swaps the storage or a feed, not the design.</w:t>
      </w:r>
    </w:p>
    <w:p>
      <w:pPr/>
      <w:r>
        <w:t xml:space="preserve">Open questions:</w:t>
      </w:r>
    </w:p>
    <w:p>
      <w:pPr>
        <w:pStyle w:val="ListParagraph"/>
        <w:numPr>
          <w:ilvl w:val="0"/>
          <w:numId w:val="19"/>
        </w:numPr>
      </w:pPr>
      <w:r>
        <w:t xml:space="preserve">Will anyone besides you view the dashboard? That decides whether Cognito sign-in is needed or a simpler private link is enough.</w:t>
      </w:r>
    </w:p>
    <w:p>
      <w:pPr>
        <w:pStyle w:val="ListParagraph"/>
        <w:numPr>
          <w:ilvl w:val="0"/>
          <w:numId w:val="19"/>
        </w:numPr>
      </w:pPr>
      <w:r>
        <w:t xml:space="preserve">Do you want a custom domain (about $1 a month), or is the CloudFront address fine?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aws.amazon.com/api-gateway/pricing/" TargetMode="External"/><Relationship Id="rId5" Type="http://schemas.openxmlformats.org/officeDocument/2006/relationships/hyperlink" Target="https://aws.amazon.com/dynamodb/pricing/on-demand/" TargetMode="External"/><Relationship Id="rId6" Type="http://schemas.openxmlformats.org/officeDocument/2006/relationships/hyperlink" Target="https://aws.amazon.com/lambda/pricing/" TargetMode="External"/><Relationship Id="rId7" Type="http://schemas.openxmlformats.org/officeDocument/2006/relationships/hyperlink" Target="https://aws.amazon.com/eventbridge/pricing/" TargetMode="External"/><Relationship Id="rId8" Type="http://schemas.openxmlformats.org/officeDocument/2006/relationships/hyperlink" Target="https://aws.amazon.com/s3/pricing/" TargetMode="External"/><Relationship Id="rId9" Type="http://schemas.openxmlformats.org/officeDocument/2006/relationships/hyperlink" Target="https://aws.amazon.com/cloudfront/pricing/" TargetMode="External"/><Relationship Id="rId10" Type="http://schemas.openxmlformats.org/officeDocument/2006/relationships/hyperlink" Target="https://aws.amazon.com/cognito/pricing/" TargetMode="External"/><Relationship Id="rId11" Type="http://schemas.openxmlformats.org/officeDocument/2006/relationships/hyperlink" Target="https://aws.amazon.com/systems-manager/pricing/" TargetMode="External"/><Relationship Id="rId12" Type="http://schemas.openxmlformats.org/officeDocument/2006/relationships/hyperlink" Target="https://aws.amazon.com/sqs/pricing/" TargetMode="External"/><Relationship Id="rId13" Type="http://schemas.openxmlformats.org/officeDocument/2006/relationships/hyperlink" Target="https://aws.amazon.com/ecr/pricing/" TargetMode="External"/><Relationship Id="rId14" Type="http://schemas.openxmlformats.org/officeDocument/2006/relationships/hyperlink" Target="https://aws.amazon.com/cloudwatch/pricing/" TargetMode="External"/><Relationship Id="rId15" Type="http://schemas.openxmlformats.org/officeDocument/2006/relationships/hyperlink" Target="https://handbook.vantage.sh/aws/services/cloudwatch-pricing/" TargetMode="External"/><Relationship Id="rId16" Type="http://schemas.openxmlformats.org/officeDocument/2006/relationships/hyperlink" Target="https://aws.amazon.com/sns/faqs" TargetMode="External"/><Relationship Id="rId17" Type="http://schemas.openxmlformats.org/officeDocument/2006/relationships/hyperlink" Target="https://aws.amazon.com/aws-cost-management/aws-budgets/pricing/" TargetMode="External"/><Relationship Id="rId18" Type="http://schemas.openxmlformats.org/officeDocument/2006/relationships/hyperlink" Target="https://dev.classmethod.jp/en/articles/route53-tld-pricing-change-2026/" TargetMode="External"/><Relationship Id="rId19" Type="http://schemas.openxmlformats.org/officeDocument/2006/relationships/hyperlink" Target="https://aws.amazon.com/free/" TargetMode="External"/><Relationship Id="rId20" Type="http://schemas.openxmlformats.org/officeDocument/2006/relationships/hyperlink" Target="https://aws.amazon.com/vpc/pricing/" TargetMode="External"/><Relationship Id="rId21" Type="http://schemas.openxmlformats.org/officeDocument/2006/relationships/hyperlink" Target="https://aws.amazon.com/secrets-manager/pricing/" TargetMode="External"/><Relationship Id="rId22" Type="http://schemas.openxmlformats.org/officeDocument/2006/relationships/hyperlink" Target="https://aws.amazon.com/compliance/services-in-scope/FedRAMP/" TargetMode="External"/><Relationship Id="rId23" Type="http://schemas.openxmlformats.org/officeDocument/2006/relationships/hyperlink" Target="https://ce.prod.cloudaware.com/frameworks/fedramp-moderate-security-controls/au/11" TargetMode="External"/><Relationship Id="rId24" Type="http://schemas.openxmlformats.org/officeDocument/2006/relationships/hyperlink" Target="https://axoflow.com/blog/omb-m-26-14-what-federal-agencies-need-to-know-about-the-new-logging-mandate" TargetMode="External"/><Relationship Id="rId25" Type="http://schemas.openxmlformats.org/officeDocument/2006/relationships/hyperlink" Target="https://sam.gov/profile/details" TargetMode="External"/><Relationship Id="rId26" Type="http://schemas.openxmlformats.org/officeDocument/2006/relationships/hyperlink" Target="https://app.alpaca.markets/" TargetMode="External"/><Relationship Id="rId27" Type="http://schemas.openxmlformats.org/officeDocument/2006/relationships/hyperlink" Target="https://data.bls.gov/registrationEngine/" TargetMode="External"/><Relationship Id="rId28" Type="http://schemas.openxmlformats.org/officeDocument/2006/relationships/hyperlink" Target="https://fredaccount.stlouisfed.org/apikeys" TargetMode="External"/><Relationship Id="rId29" Type="http://schemas.openxmlformats.org/officeDocument/2006/relationships/hyperlink" Target="https://finnhub.io/dashboard" TargetMode="External"/><Relationship Id="rId30" Type="http://schemas.openxmlformats.org/officeDocument/2006/relationships/hyperlink" Target="https://www.alphavantage.co/support/" TargetMode="External"/><Relationship Id="rId31" Type="http://schemas.openxmlformats.org/officeDocument/2006/relationships/hyperlink" Target="https://massive.com/dashboard" TargetMode="External"/><Relationship Id="rId32" Type="http://schemas.openxmlformats.org/officeDocument/2006/relationships/hyperlink" Target="https://apps.bea.gov/API/signup/" TargetMode="External"/><Relationship Id="rId33" Type="http://schemas.openxmlformats.org/officeDocument/2006/relationships/hyperlink" Target="https://api.census.gov/data/key_signup.html" TargetMode="External"/><Relationship Id="rId34" Type="http://schemas.openxmlformats.org/officeDocument/2006/relationships/hyperlink" Target="https://api.data.gov/signup/" TargetMode="External"/><Relationship Id="rId35" Type="http://schemas.openxmlformats.org/officeDocument/2006/relationships/hyperlink" Target="https://acleddata.com/" TargetMode="External"/><Relationship Id="rId36" Type="http://schemas.openxmlformats.org/officeDocument/2006/relationships/hyperlink" Target="https://edgrapi.com/blog/sam-gov-api-rate-limits" TargetMode="External"/><Relationship Id="rId37" Type="http://schemas.openxmlformats.org/officeDocument/2006/relationships/hyperlink" Target="https://github.com/HHS/simpler-grants-gov/issues/7640" TargetMode="External"/><Relationship Id="rId38" Type="http://schemas.openxmlformats.org/officeDocument/2006/relationships/hyperlink" Target="https://www.bls.gov/developers/api_faqs.htm" TargetMode="External"/><Relationship Id="rId39" Type="http://schemas.openxmlformats.org/officeDocument/2006/relationships/hyperlink" Target="https://acleddata.com/api-documentation/getting-started" TargetMode="External"/><Relationship Id="rId40" Type="http://schemas.openxmlformats.org/officeDocument/2006/relationships/hyperlink" Target="https://docs.aws.amazon.com/guardduty/latest/ug/lambda-protection.html" TargetMode="External"/><Relationship Id="rId41" Type="http://schemas.openxmlformats.org/officeDocument/2006/relationships/hyperlink" Target="https://aws.amazon.com/network-firewall/pricing/" TargetMode="External"/><Relationship Id="rId42" Type="http://schemas.openxmlformats.org/officeDocument/2006/relationships/image" Target="media/image2.png"/><Relationship Id="rId43" Type="http://schemas.openxmlformats.org/officeDocument/2006/relationships/hyperlink" Target="https://aws.amazon.com/guardduty/pricing/" TargetMode="External"/><Relationship Id="rId44" Type="http://schemas.openxmlformats.org/officeDocument/2006/relationships/hyperlink" Target="https://aws.amazon.com/security-hub/cspm/pricing/" TargetMode="External"/><Relationship Id="rId45" Type="http://schemas.openxmlformats.org/officeDocument/2006/relationships/hyperlink" Target="https://aws.amazon.com/config/pricing/" TargetMode="External"/><Relationship Id="rId46" Type="http://schemas.openxmlformats.org/officeDocument/2006/relationships/hyperlink" Target="https://aws.amazon.com/inspector/pricing/" TargetMode="External"/><Relationship Id="rId47" Type="http://schemas.openxmlformats.org/officeDocument/2006/relationships/hyperlink" Target="https://aws.amazon.com/kms/pricing/" TargetMode="External"/><Relationship Id="rId48" Type="http://schemas.openxmlformats.org/officeDocument/2006/relationships/hyperlink" Target="https://aws.amazon.com/cloudtrail/pricing/" TargetMode="External"/><Relationship Id="rId49" Type="http://schemas.openxmlformats.org/officeDocument/2006/relationships/hyperlink" Target="https://aws.amazon.com/blogs/aws/new-use-cloudwatch-synthetics-to-monitor-sites-api-endpoints-web-workflows-and-more/" TargetMode="External"/><Relationship Id="rId50" Type="http://schemas.openxmlformats.org/officeDocument/2006/relationships/hyperlink" Target="https://lumigo.io/learn/what-is-aws-x-ray/" TargetMode="External"/><Relationship Id="rId51"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Investor Dashboard — Architecture &amp; Infrastructure</dc:title>
  <dc:description>Claude Docs node/72c6df85-433a@54 docx-w6</dc:description>
  <cp:revision>54</cp:revision>
</cp:coreProperties>
</file>