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3A6F51" w:rsidRPr="00D44AC5" w:rsidRDefault="003A6F51" w:rsidP="00D44AC5">
      <w:pPr>
        <w:pStyle w:val="Caption"/>
        <w:keepNext/>
        <w:spacing w:line="480" w:lineRule="auto"/>
        <w:jc w:val="both"/>
        <w:rPr>
          <w:rFonts w:ascii="Times New Roman" w:hAnsi="Times New Roman"/>
          <w:color w:val="auto"/>
          <w:sz w:val="24"/>
        </w:rPr>
      </w:pPr>
      <w:r w:rsidRPr="00D44AC5">
        <w:rPr>
          <w:rFonts w:ascii="Times New Roman" w:hAnsi="Times New Roman"/>
          <w:color w:val="auto"/>
          <w:sz w:val="24"/>
        </w:rPr>
        <w:t xml:space="preserve">Table 1. </w:t>
      </w:r>
      <w:r w:rsidRPr="00D44AC5">
        <w:rPr>
          <w:rFonts w:ascii="Times New Roman" w:hAnsi="Times New Roman"/>
          <w:color w:val="auto"/>
          <w:sz w:val="24"/>
        </w:rPr>
        <w:fldChar w:fldCharType="begin"/>
      </w:r>
      <w:r w:rsidRPr="00D44AC5">
        <w:rPr>
          <w:rFonts w:ascii="Times New Roman" w:hAnsi="Times New Roman"/>
          <w:color w:val="auto"/>
          <w:sz w:val="24"/>
        </w:rPr>
        <w:instrText xml:space="preserve"> SEQ Table_1. \* ARABIC </w:instrText>
      </w:r>
      <w:r w:rsidRPr="00D44AC5">
        <w:rPr>
          <w:rFonts w:ascii="Times New Roman" w:hAnsi="Times New Roman"/>
          <w:color w:val="auto"/>
          <w:sz w:val="24"/>
        </w:rPr>
        <w:fldChar w:fldCharType="separate"/>
      </w:r>
      <w:r w:rsidRPr="00D44AC5">
        <w:rPr>
          <w:rFonts w:ascii="Times New Roman" w:hAnsi="Times New Roman"/>
          <w:noProof/>
          <w:color w:val="auto"/>
          <w:sz w:val="24"/>
        </w:rPr>
        <w:t>1</w:t>
      </w:r>
      <w:r w:rsidRPr="00D44AC5">
        <w:rPr>
          <w:rFonts w:ascii="Times New Roman" w:hAnsi="Times New Roman"/>
          <w:color w:val="auto"/>
          <w:sz w:val="24"/>
        </w:rPr>
        <w:fldChar w:fldCharType="end"/>
      </w:r>
      <w:r w:rsidRPr="00D44AC5">
        <w:rPr>
          <w:rFonts w:ascii="Times New Roman" w:hAnsi="Times New Roman"/>
          <w:color w:val="auto"/>
          <w:sz w:val="24"/>
        </w:rPr>
        <w:t xml:space="preserve">: Antiretroviral drugs used in the treatment of HIV infection, their mechanisms of action and mechanisms of resistance. Source: Adapted from François </w:t>
      </w:r>
      <w:proofErr w:type="spellStart"/>
      <w:r w:rsidRPr="00D44AC5">
        <w:rPr>
          <w:rFonts w:ascii="Times New Roman" w:hAnsi="Times New Roman"/>
          <w:color w:val="auto"/>
          <w:sz w:val="24"/>
        </w:rPr>
        <w:t>Clavel</w:t>
      </w:r>
      <w:proofErr w:type="spellEnd"/>
      <w:r w:rsidRPr="00D44AC5">
        <w:rPr>
          <w:rFonts w:ascii="Times New Roman" w:hAnsi="Times New Roman"/>
          <w:color w:val="auto"/>
          <w:sz w:val="24"/>
        </w:rPr>
        <w:t xml:space="preserve"> and Allan J. </w:t>
      </w:r>
      <w:proofErr w:type="spellStart"/>
      <w:r w:rsidRPr="00D44AC5">
        <w:rPr>
          <w:rFonts w:ascii="Times New Roman" w:hAnsi="Times New Roman"/>
          <w:color w:val="auto"/>
          <w:sz w:val="24"/>
        </w:rPr>
        <w:t>Hance</w:t>
      </w:r>
      <w:proofErr w:type="spellEnd"/>
      <w:r w:rsidRPr="00D44AC5">
        <w:rPr>
          <w:rFonts w:ascii="Times New Roman" w:hAnsi="Times New Roman"/>
          <w:color w:val="auto"/>
          <w:sz w:val="24"/>
        </w:rPr>
        <w:t xml:space="preserve"> 2004 </w:t>
      </w:r>
      <w:r w:rsidRPr="00D44AC5">
        <w:rPr>
          <w:rFonts w:ascii="Times New Roman" w:hAnsi="Times New Roman"/>
          <w:color w:val="auto"/>
          <w:sz w:val="24"/>
        </w:rPr>
        <w:fldChar w:fldCharType="begin"/>
      </w:r>
      <w:r w:rsidRPr="00D44AC5">
        <w:rPr>
          <w:rFonts w:ascii="Times New Roman" w:hAnsi="Times New Roman"/>
          <w:color w:val="auto"/>
          <w:sz w:val="24"/>
        </w:rPr>
        <w:instrText xml:space="preserve"> ADDIN EN.CITE &lt;EndNote&gt;&lt;Cite&gt;&lt;Author&gt;Clavel&lt;/Author&gt;&lt;Year&gt;2004&lt;/Year&gt;&lt;RecNum&gt;314&lt;/RecNum&gt;&lt;record&gt;&lt;rec-number&gt;314&lt;/rec-number&gt;&lt;foreign-keys&gt;&lt;key app="EN" db-id="fp25zzvrxrd9vke5zxqp9stbssprwstvdddz"&gt;314&lt;/key&gt;&lt;/foreign-keys&gt;&lt;ref-type name="Journal Article"&gt;17&lt;/ref-type&gt;&lt;contributors&gt;&lt;authors&gt;&lt;author&gt;Clavel, François&lt;/author&gt;&lt;author&gt;Hance, Allan J.&lt;/author&gt;&lt;/authors&gt;&lt;/contributors&gt;&lt;auth-address&gt;http://www.nejm.org/doi/full/10.1056/NEJMra025195&lt;/auth-address&gt;&lt;titles&gt;&lt;title&gt;HIV Drug Resistance&lt;/title&gt;&lt;secondary-title&gt;New England Journal of Medicine&lt;/secondary-title&gt;&lt;/titles&gt;&lt;periodical&gt;&lt;full-title&gt;New England Journal of Medicine&lt;/full-title&gt;&lt;/periodical&gt;&lt;pages&gt;1023-1035&lt;/pages&gt;&lt;volume&gt;350&lt;/volume&gt;&lt;number&gt;10&lt;/number&gt;&lt;dates&gt;&lt;year&gt;2004&lt;/year&gt;&lt;/dates&gt;&lt;isbn&gt;0028-4793&lt;/isbn&gt;&lt;label&gt;clavel_hiv_2004&lt;/label&gt;&lt;urls&gt;&lt;related-urls&gt;&lt;url&gt;10.1056/NEJMra025195&lt;/url&gt;&lt;/related-urls&gt;&lt;/urls&gt;&lt;/record&gt;&lt;/Cite&gt;&lt;/EndNote&gt;</w:instrText>
      </w:r>
      <w:r w:rsidRPr="00D44AC5">
        <w:rPr>
          <w:rFonts w:ascii="Times New Roman" w:hAnsi="Times New Roman"/>
          <w:color w:val="auto"/>
          <w:sz w:val="24"/>
        </w:rPr>
        <w:fldChar w:fldCharType="separate"/>
      </w:r>
      <w:r w:rsidRPr="00D44AC5">
        <w:rPr>
          <w:rFonts w:ascii="Times New Roman" w:hAnsi="Times New Roman"/>
          <w:noProof/>
          <w:color w:val="auto"/>
          <w:sz w:val="24"/>
        </w:rPr>
        <w:t>(Clavel and Hance, 2004)</w:t>
      </w:r>
      <w:r w:rsidRPr="00D44AC5">
        <w:rPr>
          <w:rFonts w:ascii="Times New Roman" w:hAnsi="Times New Roman"/>
          <w:color w:val="auto"/>
          <w:sz w:val="24"/>
        </w:rPr>
        <w:fldChar w:fldCharType="end"/>
      </w:r>
      <w:r w:rsidRPr="00D44AC5">
        <w:rPr>
          <w:rFonts w:ascii="Times New Roman" w:hAnsi="Times New Roman"/>
          <w:color w:val="auto"/>
          <w:sz w:val="24"/>
        </w:rPr>
        <w:t xml:space="preserve"> and </w:t>
      </w:r>
      <w:r w:rsidRPr="00D44AC5">
        <w:rPr>
          <w:rFonts w:ascii="Times New Roman" w:hAnsi="Times New Roman"/>
          <w:color w:val="auto"/>
          <w:sz w:val="24"/>
        </w:rPr>
        <w:fldChar w:fldCharType="begin">
          <w:fldData xml:space="preserve">PEVuZE5vdGU+PENpdGU+PEF1dGhvcj5BbW1hcmFub25kPC9BdXRob3I+PFllYXI+MjAxMjwvWWVh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</w:fldData>
        </w:fldChar>
      </w:r>
      <w:r w:rsidRPr="00D44AC5">
        <w:rPr>
          <w:rFonts w:ascii="Times New Roman" w:hAnsi="Times New Roman"/>
          <w:color w:val="auto"/>
          <w:sz w:val="24"/>
        </w:rPr>
        <w:instrText xml:space="preserve"> ADDIN EN.CITE </w:instrText>
      </w:r>
      <w:r w:rsidRPr="00D44AC5">
        <w:rPr>
          <w:rFonts w:ascii="Times New Roman" w:hAnsi="Times New Roman"/>
          <w:color w:val="auto"/>
          <w:sz w:val="24"/>
        </w:rPr>
        <w:fldChar w:fldCharType="begin">
          <w:fldData xml:space="preserve">PEVuZE5vdGU+PENpdGU+PEF1dGhvcj5BbW1hcmFub25kPC9BdXRob3I+PFllYXI+MjAxMjwvWWVh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</w:fldData>
        </w:fldChar>
      </w:r>
      <w:r w:rsidRPr="00D44AC5">
        <w:rPr>
          <w:rFonts w:ascii="Times New Roman" w:hAnsi="Times New Roman"/>
          <w:color w:val="auto"/>
          <w:sz w:val="24"/>
        </w:rPr>
        <w:instrText xml:space="preserve"> ADDIN EN.CITE.DATA </w:instrText>
      </w:r>
      <w:r w:rsidRPr="00D44AC5">
        <w:rPr>
          <w:rFonts w:ascii="Times New Roman" w:hAnsi="Times New Roman"/>
          <w:color w:val="auto"/>
          <w:sz w:val="24"/>
        </w:rPr>
      </w:r>
      <w:r w:rsidRPr="00D44AC5">
        <w:rPr>
          <w:rFonts w:ascii="Times New Roman" w:hAnsi="Times New Roman"/>
          <w:color w:val="auto"/>
          <w:sz w:val="24"/>
        </w:rPr>
        <w:fldChar w:fldCharType="end"/>
      </w:r>
      <w:r w:rsidRPr="00D44AC5">
        <w:rPr>
          <w:rFonts w:ascii="Times New Roman" w:hAnsi="Times New Roman"/>
          <w:color w:val="auto"/>
          <w:sz w:val="24"/>
        </w:rPr>
      </w:r>
      <w:r w:rsidRPr="00D44AC5">
        <w:rPr>
          <w:rFonts w:ascii="Times New Roman" w:hAnsi="Times New Roman"/>
          <w:color w:val="auto"/>
          <w:sz w:val="24"/>
        </w:rPr>
        <w:fldChar w:fldCharType="separate"/>
      </w:r>
      <w:r w:rsidRPr="00D44AC5">
        <w:rPr>
          <w:rFonts w:ascii="Times New Roman" w:hAnsi="Times New Roman"/>
          <w:noProof/>
          <w:color w:val="auto"/>
          <w:sz w:val="24"/>
        </w:rPr>
        <w:t>(Ammaranond and Sanguansittianan, 2012; Colin et al., 2013)</w:t>
      </w:r>
      <w:r w:rsidRPr="00D44AC5">
        <w:rPr>
          <w:rFonts w:ascii="Times New Roman" w:hAnsi="Times New Roman"/>
          <w:color w:val="auto"/>
          <w:sz w:val="24"/>
        </w:rPr>
        <w:fldChar w:fldCharType="end"/>
      </w:r>
    </w:p>
    <w:tbl>
      <w:tblPr>
        <w:tblpPr w:leftFromText="180" w:rightFromText="180" w:vertAnchor="text" w:tblpX="30" w:tblpY="1"/>
        <w:tblOverlap w:val="never"/>
        <w:tblW w:w="58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877"/>
        <w:gridCol w:w="3410"/>
        <w:gridCol w:w="3164"/>
      </w:tblGrid>
      <w:tr w:rsidR="003A6F51" w:rsidRPr="00E265D1">
        <w:trPr>
          <w:tblHeader/>
        </w:trPr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Drugs</w:t>
            </w:r>
          </w:p>
        </w:tc>
        <w:tc>
          <w:tcPr>
            <w:tcW w:w="1804" w:type="pct"/>
            <w:shd w:val="clear" w:color="auto" w:fill="auto"/>
          </w:tcPr>
          <w:p w:rsidR="003A6F51" w:rsidRPr="00E265D1" w:rsidRDefault="003A6F51" w:rsidP="003A6F5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Mechanism of Action</w:t>
            </w:r>
          </w:p>
        </w:tc>
        <w:tc>
          <w:tcPr>
            <w:tcW w:w="1674" w:type="pct"/>
            <w:shd w:val="clear" w:color="auto" w:fill="auto"/>
          </w:tcPr>
          <w:p w:rsidR="003A6F51" w:rsidRPr="00E265D1" w:rsidRDefault="003A6F51" w:rsidP="003A6F51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Mechanisms of Resistance</w:t>
            </w:r>
          </w:p>
        </w:tc>
      </w:tr>
      <w:tr w:rsidR="003A6F51" w:rsidRPr="00E265D1">
        <w:tc>
          <w:tcPr>
            <w:tcW w:w="5000" w:type="pct"/>
            <w:gridSpan w:val="3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Fusion and entry inhibitors</w:t>
            </w:r>
          </w:p>
        </w:tc>
      </w:tr>
      <w:tr w:rsidR="003A6F51" w:rsidRPr="00E265D1">
        <w:trPr>
          <w:trHeight w:val="1080"/>
        </w:trPr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Enfuvirtide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(T-20)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36 amino acid peptide derived from the HR2 domain of glycoprotein 41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Interferes with glycoprotein 41 dependent membrane fusion</w:t>
            </w:r>
          </w:p>
        </w:tc>
        <w:tc>
          <w:tcPr>
            <w:tcW w:w="1674" w:type="pct"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Mutations affect HR1, a domain of glycoprotein 41 whose interaction with HR2 promotes membrane fusion</w:t>
            </w:r>
          </w:p>
        </w:tc>
      </w:tr>
      <w:tr w:rsidR="003A6F51" w:rsidRPr="00E265D1">
        <w:trPr>
          <w:trHeight w:val="1009"/>
        </w:trPr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Maraviroc</w:t>
            </w:r>
            <w:proofErr w:type="spellEnd"/>
          </w:p>
        </w:tc>
        <w:tc>
          <w:tcPr>
            <w:tcW w:w="1804" w:type="pct"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Binds to CCR5 co receptor</w:t>
            </w:r>
          </w:p>
        </w:tc>
        <w:tc>
          <w:tcPr>
            <w:tcW w:w="1674" w:type="pct"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Development of CXCR4 using HIV</w:t>
            </w:r>
          </w:p>
          <w:p w:rsidR="003A6F51" w:rsidRPr="00E265D1" w:rsidRDefault="003A6F51" w:rsidP="003A6F51">
            <w:pPr>
              <w:pStyle w:val="Heading1"/>
              <w:spacing w:before="2" w:after="2"/>
              <w:rPr>
                <w:rFonts w:ascii="Times" w:eastAsiaTheme="minorEastAsia" w:hAnsi="Times" w:cstheme="minorBidi"/>
                <w:b w:val="0"/>
                <w:bCs w:val="0"/>
                <w:color w:val="auto"/>
                <w:sz w:val="20"/>
                <w:szCs w:val="20"/>
              </w:rPr>
            </w:pPr>
            <w:r w:rsidRPr="00E265D1">
              <w:rPr>
                <w:rFonts w:ascii="Times" w:eastAsiaTheme="minorEastAsia" w:hAnsi="Times" w:cstheme="minorBidi"/>
                <w:b w:val="0"/>
                <w:bCs w:val="0"/>
                <w:color w:val="auto"/>
                <w:sz w:val="20"/>
                <w:szCs w:val="20"/>
              </w:rPr>
              <w:t>HIV-1 exploits CCR5 conformational heterogeneity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5000" w:type="pct"/>
            <w:gridSpan w:val="3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Nucleoside reverse transcriptase inhibitors (</w:t>
            </w:r>
            <w:proofErr w:type="spellStart"/>
            <w:r w:rsidRPr="00E265D1">
              <w:rPr>
                <w:rFonts w:ascii="Times" w:hAnsi="Times"/>
                <w:b/>
                <w:sz w:val="20"/>
                <w:szCs w:val="20"/>
              </w:rPr>
              <w:t>NRTls</w:t>
            </w:r>
            <w:proofErr w:type="spellEnd"/>
            <w:r w:rsidRPr="00E265D1">
              <w:rPr>
                <w:rFonts w:ascii="Times" w:hAnsi="Times"/>
                <w:b/>
                <w:sz w:val="20"/>
                <w:szCs w:val="20"/>
              </w:rPr>
              <w:t>)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Zidovudine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(AZT)</w:t>
            </w:r>
          </w:p>
        </w:tc>
        <w:tc>
          <w:tcPr>
            <w:tcW w:w="1804" w:type="pct"/>
            <w:vMerge w:val="restar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Analogues of normal nucleosides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Active as triphosphate derivatives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Incorporated into nascent viral DNA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Prematurely terminate HIV DNA synthesis</w:t>
            </w:r>
          </w:p>
        </w:tc>
        <w:tc>
          <w:tcPr>
            <w:tcW w:w="1674" w:type="pct"/>
            <w:vMerge w:val="restar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Thymidine analogue mutations promote ATP-mediated and pyrophosphate-mediated excision of the incorporated terminator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Didanosine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</w:t>
            </w: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ddl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>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Zalcitabine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</w:t>
            </w: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ddC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>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Stavudine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(d4T)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Lamivudine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(3TC)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Abacavir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(ABC)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 xml:space="preserve">Tenofovir </w:t>
            </w: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disoproxil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(TVD)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Emtricitabine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(FTC)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5000" w:type="pct"/>
            <w:gridSpan w:val="3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Nucleotide reverse transcriptase inhibitors (</w:t>
            </w:r>
            <w:proofErr w:type="spellStart"/>
            <w:r w:rsidRPr="00E265D1">
              <w:rPr>
                <w:rFonts w:ascii="Times" w:hAnsi="Times"/>
                <w:b/>
                <w:sz w:val="20"/>
                <w:szCs w:val="20"/>
              </w:rPr>
              <w:t>NtRTls</w:t>
            </w:r>
            <w:proofErr w:type="spellEnd"/>
            <w:r w:rsidRPr="00E265D1">
              <w:rPr>
                <w:rFonts w:ascii="Times" w:hAnsi="Times"/>
                <w:b/>
                <w:sz w:val="20"/>
                <w:szCs w:val="20"/>
              </w:rPr>
              <w:t>)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Tenofovir</w:t>
            </w:r>
          </w:p>
        </w:tc>
        <w:tc>
          <w:tcPr>
            <w:tcW w:w="1804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Same as nucleoside analogues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K65R impairs incorporation of tenofovir into DNA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Thymidine analogue mutations often associated with cross-resistance to tenofovir</w:t>
            </w:r>
          </w:p>
        </w:tc>
      </w:tr>
      <w:tr w:rsidR="003A6F51" w:rsidRPr="00E265D1">
        <w:tc>
          <w:tcPr>
            <w:tcW w:w="5000" w:type="pct"/>
            <w:gridSpan w:val="3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Non-nucleoside reverse transcriptase inhibitors (</w:t>
            </w:r>
            <w:proofErr w:type="spellStart"/>
            <w:r w:rsidRPr="00E265D1">
              <w:rPr>
                <w:rFonts w:ascii="Times" w:hAnsi="Times"/>
                <w:b/>
                <w:sz w:val="20"/>
                <w:szCs w:val="20"/>
              </w:rPr>
              <w:t>NNRTls</w:t>
            </w:r>
            <w:proofErr w:type="spellEnd"/>
            <w:r w:rsidRPr="00E265D1">
              <w:rPr>
                <w:rFonts w:ascii="Times" w:hAnsi="Times"/>
                <w:b/>
                <w:sz w:val="20"/>
                <w:szCs w:val="20"/>
              </w:rPr>
              <w:t>)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Nevirapine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(NVP)</w:t>
            </w:r>
          </w:p>
        </w:tc>
        <w:tc>
          <w:tcPr>
            <w:tcW w:w="1804" w:type="pct"/>
            <w:vMerge w:val="restar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Bind a hydrophobic pocket of HIV type 1 reverse transcriptase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Block polymerization of viral DNA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Inactive against HIV type 2</w:t>
            </w:r>
          </w:p>
        </w:tc>
        <w:tc>
          <w:tcPr>
            <w:tcW w:w="1674" w:type="pct"/>
            <w:vMerge w:val="restart"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Mutations reduce affinity of the inhibitors for the enzyme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Single mutations generally sufficient to induce high level of resistance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Delavirdine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(DLV)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Efavirenz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(EFV)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Etravirine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(ETR)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5000" w:type="pct"/>
            <w:gridSpan w:val="3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Protease Inhibitors (PI)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Saquinavir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(SQV)</w:t>
            </w:r>
          </w:p>
        </w:tc>
        <w:tc>
          <w:tcPr>
            <w:tcW w:w="1804" w:type="pct"/>
            <w:vMerge w:val="restar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 xml:space="preserve">Structure derived from natural </w:t>
            </w: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peptidic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substrates of the HIV type 1 protease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Bind the active site of the protease</w:t>
            </w:r>
          </w:p>
        </w:tc>
        <w:tc>
          <w:tcPr>
            <w:tcW w:w="1674" w:type="pct"/>
            <w:vMerge w:val="restar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Mutations reduce affinity of the inhibitors for the enzyme</w:t>
            </w:r>
          </w:p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>High-level resistance requires a accumulation of mutations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Ritonavir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(RTV)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Indinavir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(IDV)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Nelflnavir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(NFV)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Amprenavir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(APV)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Lopinavir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> + </w:t>
            </w: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Ritonavir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(LPV/r)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Fosamprenavir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(FPV)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Tipranavir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(TPV)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Darunavir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(DRV)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spacing w:before="2" w:after="2"/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Atazanavir</w:t>
            </w:r>
            <w:proofErr w:type="spellEnd"/>
            <w:r w:rsidRPr="00E265D1">
              <w:rPr>
                <w:rFonts w:ascii="Times" w:hAnsi="Times"/>
                <w:sz w:val="20"/>
                <w:szCs w:val="20"/>
              </w:rPr>
              <w:t xml:space="preserve"> (ATV)</w:t>
            </w:r>
          </w:p>
        </w:tc>
        <w:tc>
          <w:tcPr>
            <w:tcW w:w="180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  <w:tc>
          <w:tcPr>
            <w:tcW w:w="1674" w:type="pct"/>
            <w:vMerge/>
            <w:shd w:val="clear" w:color="auto" w:fill="auto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</w:p>
        </w:tc>
      </w:tr>
      <w:tr w:rsidR="003A6F51" w:rsidRPr="00E265D1">
        <w:tc>
          <w:tcPr>
            <w:tcW w:w="5000" w:type="pct"/>
            <w:gridSpan w:val="3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b/>
                <w:sz w:val="20"/>
                <w:szCs w:val="20"/>
              </w:rPr>
            </w:pPr>
            <w:r w:rsidRPr="00E265D1">
              <w:rPr>
                <w:rFonts w:ascii="Times" w:hAnsi="Times"/>
                <w:b/>
                <w:sz w:val="20"/>
                <w:szCs w:val="20"/>
              </w:rPr>
              <w:t>Integrase Inhibitors</w:t>
            </w:r>
          </w:p>
        </w:tc>
      </w:tr>
      <w:tr w:rsidR="003A6F51" w:rsidRPr="00E265D1">
        <w:tc>
          <w:tcPr>
            <w:tcW w:w="1522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proofErr w:type="spellStart"/>
            <w:r w:rsidRPr="00E265D1">
              <w:rPr>
                <w:rFonts w:ascii="Times" w:hAnsi="Times"/>
                <w:sz w:val="20"/>
                <w:szCs w:val="20"/>
              </w:rPr>
              <w:t>Raltegravir</w:t>
            </w:r>
            <w:proofErr w:type="spellEnd"/>
          </w:p>
        </w:tc>
        <w:tc>
          <w:tcPr>
            <w:tcW w:w="1804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sz w:val="20"/>
              </w:rPr>
              <w:t>Binds selectively to the enzyme complexes that results in inhibiting strand transfer of viral and host DNA</w:t>
            </w:r>
          </w:p>
        </w:tc>
        <w:tc>
          <w:tcPr>
            <w:tcW w:w="1674" w:type="pct"/>
            <w:shd w:val="clear" w:color="auto" w:fill="auto"/>
            <w:vAlign w:val="center"/>
          </w:tcPr>
          <w:p w:rsidR="003A6F51" w:rsidRPr="00E265D1" w:rsidRDefault="003A6F51" w:rsidP="003A6F51">
            <w:pPr>
              <w:rPr>
                <w:rFonts w:ascii="Times" w:hAnsi="Times"/>
                <w:sz w:val="20"/>
                <w:szCs w:val="20"/>
              </w:rPr>
            </w:pPr>
            <w:r w:rsidRPr="00E265D1">
              <w:rPr>
                <w:rFonts w:ascii="Times" w:hAnsi="Times"/>
                <w:sz w:val="20"/>
                <w:szCs w:val="20"/>
              </w:rPr>
              <w:t xml:space="preserve">Mutations at </w:t>
            </w:r>
            <w:r w:rsidRPr="00E265D1">
              <w:rPr>
                <w:sz w:val="20"/>
              </w:rPr>
              <w:t xml:space="preserve">conserved </w:t>
            </w:r>
            <w:proofErr w:type="spellStart"/>
            <w:r w:rsidRPr="00E265D1">
              <w:rPr>
                <w:sz w:val="20"/>
              </w:rPr>
              <w:t>carboxylate</w:t>
            </w:r>
            <w:proofErr w:type="spellEnd"/>
            <w:r w:rsidRPr="00E265D1">
              <w:rPr>
                <w:sz w:val="20"/>
              </w:rPr>
              <w:t xml:space="preserve"> residues (Asp64 and Asp116)</w:t>
            </w:r>
          </w:p>
        </w:tc>
      </w:tr>
    </w:tbl>
    <w:p w:rsidR="003A6F51" w:rsidRDefault="003A6F51">
      <w:pPr>
        <w:sectPr w:rsidR="003A6F51" w:rsidSect="00D44AC5">
          <w:pgSz w:w="11900" w:h="16840"/>
          <w:pgMar w:top="851" w:right="2119" w:bottom="1440" w:left="1800" w:header="708" w:footer="708" w:gutter="0"/>
          <w:cols w:space="708"/>
        </w:sectPr>
      </w:pPr>
    </w:p>
    <w:p w:rsidR="003A6F51" w:rsidRPr="00D44AC5" w:rsidRDefault="003A6F51" w:rsidP="00D44AC5">
      <w:pPr>
        <w:pStyle w:val="Caption"/>
        <w:keepNext/>
        <w:spacing w:line="480" w:lineRule="auto"/>
        <w:rPr>
          <w:color w:val="auto"/>
          <w:sz w:val="24"/>
        </w:rPr>
      </w:pPr>
      <w:r w:rsidRPr="00D44AC5">
        <w:rPr>
          <w:color w:val="auto"/>
          <w:sz w:val="24"/>
        </w:rPr>
        <w:t xml:space="preserve">Table 1. </w:t>
      </w:r>
      <w:r w:rsidRPr="00D44AC5">
        <w:rPr>
          <w:color w:val="auto"/>
          <w:sz w:val="24"/>
        </w:rPr>
        <w:fldChar w:fldCharType="begin"/>
      </w:r>
      <w:r w:rsidRPr="00D44AC5">
        <w:rPr>
          <w:color w:val="auto"/>
          <w:sz w:val="24"/>
        </w:rPr>
        <w:instrText xml:space="preserve"> SEQ Table_1. \* ARABIC </w:instrText>
      </w:r>
      <w:r w:rsidRPr="00D44AC5">
        <w:rPr>
          <w:color w:val="auto"/>
          <w:sz w:val="24"/>
        </w:rPr>
        <w:fldChar w:fldCharType="separate"/>
      </w:r>
      <w:r w:rsidRPr="00D44AC5">
        <w:rPr>
          <w:noProof/>
          <w:color w:val="auto"/>
          <w:sz w:val="24"/>
        </w:rPr>
        <w:t>2</w:t>
      </w:r>
      <w:r w:rsidRPr="00D44AC5">
        <w:rPr>
          <w:color w:val="auto"/>
          <w:sz w:val="24"/>
        </w:rPr>
        <w:fldChar w:fldCharType="end"/>
      </w:r>
      <w:r w:rsidRPr="00D44AC5">
        <w:rPr>
          <w:color w:val="auto"/>
          <w:sz w:val="24"/>
        </w:rPr>
        <w:t xml:space="preserve">: </w:t>
      </w:r>
      <w:r w:rsidRPr="00D44AC5">
        <w:rPr>
          <w:b w:val="0"/>
          <w:color w:val="auto"/>
          <w:sz w:val="24"/>
        </w:rPr>
        <w:t xml:space="preserve">Comparative analysis of different NGS systems. Source: adapted from </w:t>
      </w:r>
      <w:proofErr w:type="spellStart"/>
      <w:proofErr w:type="gramStart"/>
      <w:r w:rsidRPr="00D44AC5">
        <w:rPr>
          <w:b w:val="0"/>
          <w:color w:val="auto"/>
          <w:sz w:val="24"/>
        </w:rPr>
        <w:t>Shokralla</w:t>
      </w:r>
      <w:proofErr w:type="spellEnd"/>
      <w:r w:rsidRPr="00D44AC5">
        <w:rPr>
          <w:b w:val="0"/>
          <w:color w:val="auto"/>
          <w:sz w:val="24"/>
        </w:rPr>
        <w:t xml:space="preserve">  et</w:t>
      </w:r>
      <w:proofErr w:type="gramEnd"/>
      <w:r w:rsidRPr="00D44AC5">
        <w:rPr>
          <w:b w:val="0"/>
          <w:color w:val="auto"/>
          <w:sz w:val="24"/>
        </w:rPr>
        <w:t xml:space="preserve"> al 2012 </w:t>
      </w:r>
      <w:r w:rsidRPr="00D44AC5">
        <w:rPr>
          <w:b w:val="0"/>
          <w:color w:val="auto"/>
          <w:sz w:val="24"/>
        </w:rPr>
        <w:fldChar w:fldCharType="begin"/>
      </w:r>
      <w:r w:rsidRPr="00D44AC5">
        <w:rPr>
          <w:b w:val="0"/>
          <w:color w:val="auto"/>
          <w:sz w:val="24"/>
        </w:rPr>
        <w:instrText xml:space="preserve"> ADDIN EN.CITE &lt;EndNote&gt;&lt;Cite ExcludeYear="1"&gt;&lt;Author&gt;Shokralla&lt;/Author&gt;&lt;RecNum&gt;1134&lt;/RecNum&gt;&lt;record&gt;&lt;rec-number&gt;1134&lt;/rec-number&gt;&lt;foreign-keys&gt;&lt;key app="EN" db-id="fp25zzvrxrd9vke5zxqp9stbssprwstvdddz"&gt;1134&lt;/key&gt;&lt;/foreign-keys&gt;&lt;ref-type name="Journal Article"&gt;17&lt;/ref-type&gt;&lt;contributors&gt;&lt;authors&gt;&lt;author&gt;Shokralla, S.&lt;/author&gt;&lt;author&gt;Spall, J. L.&lt;/author&gt;&lt;author&gt;Gibson, J. F.&lt;/author&gt;&lt;author&gt;Hajibabaei, M.&lt;/author&gt;&lt;/authors&gt;&lt;/contributors&gt;&lt;auth-address&gt;Biodiversity Institute of Ontario, Department of Integrative Biology, University of Guelph, Guelph, Ontario, Canada. sshokral@uoguelph.ca&lt;/auth-address&gt;&lt;titles&gt;&lt;title&gt;Next-generation sequencing technologies for environmental DNA research&lt;/title&gt;&lt;secondary-title&gt;Mol Ecol&lt;/secondary-title&gt;&lt;/titles&gt;&lt;periodical&gt;&lt;full-title&gt;Mol Ecol&lt;/full-title&gt;&lt;/periodical&gt;&lt;pages&gt;1794-805&lt;/pages&gt;&lt;volume&gt;21&lt;/volume&gt;&lt;number&gt;8&lt;/number&gt;&lt;edition&gt;2012/04/11&lt;/edition&gt;&lt;keywords&gt;&lt;keyword&gt;DNA/*analysis/genetics&lt;/keyword&gt;&lt;keyword&gt;Environmental Monitoring/*methods&lt;/keyword&gt;&lt;keyword&gt;*High-Throughput Nucleotide Sequencing/instrumentation/methods&lt;/keyword&gt;&lt;keyword&gt;*Metagenomics&lt;/keyword&gt;&lt;/keywords&gt;&lt;dates&gt;&lt;year&gt;2012&lt;/year&gt;&lt;pub-dates&gt;&lt;date&gt;Apr&lt;/date&gt;&lt;/pub-dates&gt;&lt;/dates&gt;&lt;isbn&gt;1365-294X (Electronic)&amp;#xD;0962-1083 (Linking)&lt;/isbn&gt;&lt;accession-num&gt;22486820&lt;/accession-num&gt;&lt;urls&gt;&lt;related-urls&gt;&lt;url&gt;http://www.ncbi.nlm.nih.gov/entrez/query.fcgi?cmd=Retrieve&amp;amp;db=PubMed&amp;amp;dopt=Citation&amp;amp;list_uids=22486820&lt;/url&gt;&lt;/related-urls&gt;&lt;/urls&gt;&lt;electronic-resource-num&gt;10.1111/j.1365-294X.2012.05538.x&lt;/electronic-resource-num&gt;&lt;language&gt;eng&lt;/language&gt;&lt;/record&gt;&lt;/Cite&gt;&lt;/EndNote&gt;</w:instrText>
      </w:r>
      <w:r w:rsidRPr="00D44AC5">
        <w:rPr>
          <w:b w:val="0"/>
          <w:color w:val="auto"/>
          <w:sz w:val="24"/>
        </w:rPr>
        <w:fldChar w:fldCharType="separate"/>
      </w:r>
      <w:r w:rsidRPr="00D44AC5">
        <w:rPr>
          <w:b w:val="0"/>
          <w:noProof/>
          <w:color w:val="auto"/>
          <w:sz w:val="24"/>
        </w:rPr>
        <w:t>(Shokralla et al.)</w:t>
      </w:r>
      <w:r w:rsidRPr="00D44AC5">
        <w:rPr>
          <w:b w:val="0"/>
          <w:color w:val="auto"/>
          <w:sz w:val="24"/>
        </w:rPr>
        <w:fldChar w:fldCharType="end"/>
      </w:r>
      <w:r w:rsidRPr="00D44AC5">
        <w:rPr>
          <w:b w:val="0"/>
          <w:color w:val="auto"/>
          <w:sz w:val="24"/>
        </w:rPr>
        <w:t xml:space="preserve">, </w:t>
      </w:r>
      <w:proofErr w:type="spellStart"/>
      <w:r w:rsidRPr="00D44AC5">
        <w:rPr>
          <w:b w:val="0"/>
          <w:color w:val="auto"/>
          <w:sz w:val="24"/>
        </w:rPr>
        <w:t>Niedringhaus</w:t>
      </w:r>
      <w:proofErr w:type="spellEnd"/>
      <w:r w:rsidRPr="00D44AC5">
        <w:rPr>
          <w:b w:val="0"/>
          <w:color w:val="auto"/>
          <w:sz w:val="24"/>
        </w:rPr>
        <w:t xml:space="preserve"> et al 2011 </w:t>
      </w:r>
      <w:r w:rsidRPr="00D44AC5">
        <w:rPr>
          <w:b w:val="0"/>
          <w:color w:val="auto"/>
          <w:sz w:val="24"/>
        </w:rPr>
        <w:fldChar w:fldCharType="begin"/>
      </w:r>
      <w:r w:rsidRPr="00D44AC5">
        <w:rPr>
          <w:b w:val="0"/>
          <w:color w:val="auto"/>
          <w:sz w:val="24"/>
        </w:rPr>
        <w:instrText xml:space="preserve"> ADDIN EN.CITE &lt;EndNote&gt;&lt;Cite ExcludeYear="1"&gt;&lt;Author&gt;Niedringhaus&lt;/Author&gt;&lt;RecNum&gt;1138&lt;/RecNum&gt;&lt;record&gt;&lt;rec-number&gt;1138&lt;/rec-number&gt;&lt;foreign-keys&gt;&lt;key app="EN" db-id="fp25zzvrxrd9vke5zxqp9stbssprwstvdddz"&gt;1138&lt;/key&gt;&lt;/foreign-keys&gt;&lt;ref-type name="Journal Article"&gt;17&lt;/ref-type&gt;&lt;contributors&gt;&lt;authors&gt;&lt;author&gt;Niedringhaus, T. P.&lt;/author&gt;&lt;author&gt;Milanova, D.&lt;/author&gt;&lt;author&gt;Kerby, M. B.&lt;/author&gt;&lt;author&gt;Snyder, M. P.&lt;/author&gt;&lt;author&gt;Barron, A. E.&lt;/author&gt;&lt;/authors&gt;&lt;/contributors&gt;&lt;auth-address&gt;Department of Chemical Engineering, Stanford University, Palo Alto, California, USA.&lt;/auth-address&gt;&lt;titles&gt;&lt;title&gt;Landscape of next-generation sequencing technologies&lt;/title&gt;&lt;secondary-title&gt;Anal Chem&lt;/secondary-title&gt;&lt;/titles&gt;&lt;periodical&gt;&lt;full-title&gt;Anal Chem&lt;/full-title&gt;&lt;/periodical&gt;&lt;pages&gt;4327-41&lt;/pages&gt;&lt;volume&gt;83&lt;/volume&gt;&lt;number&gt;12&lt;/number&gt;&lt;edition&gt;2011/05/27&lt;/edition&gt;&lt;keywords&gt;&lt;keyword&gt;Electrophoresis, Capillary/methods&lt;/keyword&gt;&lt;keyword&gt;Fluorescence Resonance Energy Transfer/methods&lt;/keyword&gt;&lt;keyword&gt;Genome, Human&lt;/keyword&gt;&lt;keyword&gt;Genomics&lt;/keyword&gt;&lt;keyword&gt;*High-Throughput Nucleotide Sequencing&lt;/keyword&gt;&lt;keyword&gt;Humans&lt;/keyword&gt;&lt;keyword&gt;Nanostructures/chemistry&lt;/keyword&gt;&lt;keyword&gt;Sequence Analysis, DNA/*methods&lt;/keyword&gt;&lt;/keywords&gt;&lt;dates&gt;&lt;year&gt;2011&lt;/year&gt;&lt;pub-dates&gt;&lt;date&gt;Jun 15&lt;/date&gt;&lt;/pub-dates&gt;&lt;/dates&gt;&lt;isbn&gt;1520-6882 (Electronic)&amp;#xD;0003-2700 (Linking)&lt;/isbn&gt;&lt;accession-num&gt;21612267&lt;/accession-num&gt;&lt;urls&gt;&lt;related-urls&gt;&lt;url&gt;http://www.ncbi.nlm.nih.gov/entrez/query.fcgi?cmd=Retrieve&amp;amp;db=PubMed&amp;amp;dopt=Citation&amp;amp;list_uids=21612267&lt;/url&gt;&lt;/related-urls&gt;&lt;/urls&gt;&lt;custom2&gt;3437308&lt;/custom2&gt;&lt;electronic-resource-num&gt;10.1021/ac2010857&lt;/electronic-resource-num&gt;&lt;language&gt;eng&lt;/language&gt;&lt;/record&gt;&lt;/Cite&gt;&lt;/EndNote&gt;</w:instrText>
      </w:r>
      <w:r w:rsidRPr="00D44AC5">
        <w:rPr>
          <w:b w:val="0"/>
          <w:color w:val="auto"/>
          <w:sz w:val="24"/>
        </w:rPr>
        <w:fldChar w:fldCharType="separate"/>
      </w:r>
      <w:r w:rsidRPr="00D44AC5">
        <w:rPr>
          <w:b w:val="0"/>
          <w:noProof/>
          <w:color w:val="auto"/>
          <w:sz w:val="24"/>
        </w:rPr>
        <w:t>(Niedringhaus et al.)</w:t>
      </w:r>
      <w:r w:rsidRPr="00D44AC5">
        <w:rPr>
          <w:b w:val="0"/>
          <w:color w:val="auto"/>
          <w:sz w:val="24"/>
        </w:rPr>
        <w:fldChar w:fldCharType="end"/>
      </w:r>
      <w:r w:rsidRPr="00D44AC5">
        <w:rPr>
          <w:b w:val="0"/>
          <w:color w:val="auto"/>
          <w:sz w:val="24"/>
        </w:rPr>
        <w:t xml:space="preserve"> </w:t>
      </w:r>
      <w:proofErr w:type="gramStart"/>
      <w:r w:rsidRPr="00D44AC5">
        <w:rPr>
          <w:b w:val="0"/>
          <w:color w:val="auto"/>
          <w:sz w:val="24"/>
        </w:rPr>
        <w:t>and</w:t>
      </w:r>
      <w:proofErr w:type="gramEnd"/>
      <w:r w:rsidRPr="00D44AC5">
        <w:rPr>
          <w:b w:val="0"/>
          <w:color w:val="auto"/>
          <w:sz w:val="24"/>
        </w:rPr>
        <w:t xml:space="preserve"> Glenn 2011 </w:t>
      </w:r>
      <w:r w:rsidRPr="00D44AC5">
        <w:rPr>
          <w:b w:val="0"/>
          <w:color w:val="auto"/>
          <w:sz w:val="24"/>
        </w:rPr>
        <w:fldChar w:fldCharType="begin"/>
      </w:r>
      <w:r w:rsidRPr="00D44AC5">
        <w:rPr>
          <w:b w:val="0"/>
          <w:color w:val="auto"/>
          <w:sz w:val="24"/>
        </w:rPr>
        <w:instrText xml:space="preserve"> ADDIN EN.CITE &lt;EndNote&gt;&lt;Cite&gt;&lt;Author&gt;Glenn&lt;/Author&gt;&lt;Year&gt;2011&lt;/Year&gt;&lt;RecNum&gt;1140&lt;/RecNum&gt;&lt;record&gt;&lt;rec-number&gt;1140&lt;/rec-number&gt;&lt;foreign-keys&gt;&lt;key app="EN" db-id="fp25zzvrxrd9vke5zxqp9stbssprwstvdddz"&gt;1140&lt;/key&gt;&lt;/foreign-keys&gt;&lt;ref-type name="Journal Article"&gt;17&lt;/ref-type&gt;&lt;contributors&gt;&lt;authors&gt;&lt;author&gt;Glenn, T. C.&lt;/author&gt;&lt;/authors&gt;&lt;/contributors&gt;&lt;auth-address&gt;Department of Environmental Health Science and Georgia Genomics Facility, Environmental Health Science Building, University of Georgia, Athens, GA 30602, USA. travisg@uga.edu&lt;/auth-address&gt;&lt;titles&gt;&lt;title&gt;Field guide to next-generation DNA sequencers&lt;/title&gt;&lt;secondary-title&gt;Mol Ecol Resour&lt;/secondary-title&gt;&lt;/titles&gt;&lt;periodical&gt;&lt;full-title&gt;Mol Ecol Resour&lt;/full-title&gt;&lt;/periodical&gt;&lt;pages&gt;759-69&lt;/pages&gt;&lt;volume&gt;11&lt;/volume&gt;&lt;number&gt;5&lt;/number&gt;&lt;edition&gt;2011/05/20&lt;/edition&gt;&lt;keywords&gt;&lt;keyword&gt;Computational Biology/*methods&lt;/keyword&gt;&lt;keyword&gt;Sequence Analysis, DNA/*economics/*instrumentation/*methods&lt;/keyword&gt;&lt;/keywords&gt;&lt;dates&gt;&lt;year&gt;2011&lt;/year&gt;&lt;pub-dates&gt;&lt;date&gt;Sep&lt;/date&gt;&lt;/pub-dates&gt;&lt;/dates&gt;&lt;isbn&gt;1755-0998 (Electronic)&amp;#xD;1755-098X (Linking)&lt;/isbn&gt;&lt;accession-num&gt;21592312&lt;/accession-num&gt;&lt;urls&gt;&lt;related-urls&gt;&lt;url&gt;http://www.ncbi.nlm.nih.gov/entrez/query.fcgi?cmd=Retrieve&amp;amp;db=PubMed&amp;amp;dopt=Citation&amp;amp;list_uids=21592312&lt;/url&gt;&lt;/related-urls&gt;&lt;/urls&gt;&lt;electronic-resource-num&gt;10.1111/j.1755-0998.2011.03024.x&lt;/electronic-resource-num&gt;&lt;language&gt;eng&lt;/language&gt;&lt;/record&gt;&lt;/Cite&gt;&lt;/EndNote&gt;</w:instrText>
      </w:r>
      <w:r w:rsidRPr="00D44AC5">
        <w:rPr>
          <w:b w:val="0"/>
          <w:color w:val="auto"/>
          <w:sz w:val="24"/>
        </w:rPr>
        <w:fldChar w:fldCharType="separate"/>
      </w:r>
      <w:r w:rsidRPr="00D44AC5">
        <w:rPr>
          <w:b w:val="0"/>
          <w:noProof/>
          <w:color w:val="auto"/>
          <w:sz w:val="24"/>
        </w:rPr>
        <w:t>(Glenn, 2011)</w:t>
      </w:r>
      <w:r w:rsidRPr="00D44AC5">
        <w:rPr>
          <w:b w:val="0"/>
          <w:color w:val="auto"/>
          <w:sz w:val="24"/>
        </w:rPr>
        <w:fldChar w:fldCharType="end"/>
      </w:r>
    </w:p>
    <w:tbl>
      <w:tblPr>
        <w:tblW w:w="14268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2172"/>
        <w:gridCol w:w="1430"/>
        <w:gridCol w:w="1039"/>
        <w:gridCol w:w="1981"/>
        <w:gridCol w:w="1031"/>
        <w:gridCol w:w="4408"/>
        <w:gridCol w:w="2207"/>
      </w:tblGrid>
      <w:tr w:rsidR="003A6F51" w:rsidRPr="00CC16FB">
        <w:trPr>
          <w:tblHeader/>
        </w:trPr>
        <w:tc>
          <w:tcPr>
            <w:tcW w:w="2172" w:type="dxa"/>
            <w:shd w:val="pct30" w:color="FFFF00" w:fill="FFFFFF"/>
            <w:vAlign w:val="center"/>
          </w:tcPr>
          <w:p w:rsidR="003A6F51" w:rsidRPr="00CC16FB" w:rsidRDefault="003A6F51" w:rsidP="003A6F51">
            <w:pPr>
              <w:spacing w:before="2" w:after="2"/>
              <w:jc w:val="center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Platform</w:t>
            </w:r>
          </w:p>
        </w:tc>
        <w:tc>
          <w:tcPr>
            <w:tcW w:w="1430" w:type="dxa"/>
            <w:shd w:val="pct30" w:color="FFFF00" w:fill="FFFFFF"/>
            <w:vAlign w:val="center"/>
          </w:tcPr>
          <w:p w:rsidR="003A6F51" w:rsidRPr="00CC16FB" w:rsidRDefault="003A6F51" w:rsidP="003A6F51">
            <w:pPr>
              <w:spacing w:before="2" w:after="2"/>
              <w:jc w:val="center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Read length (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bp</w:t>
            </w:r>
            <w:proofErr w:type="spellEnd"/>
            <w:r w:rsidRPr="00CC16FB">
              <w:rPr>
                <w:rFonts w:ascii="Times" w:eastAsiaTheme="minorHAnsi" w:hAnsi="Times"/>
                <w:szCs w:val="20"/>
                <w:lang w:eastAsia="en-US"/>
              </w:rPr>
              <w:t>)</w:t>
            </w:r>
          </w:p>
        </w:tc>
        <w:tc>
          <w:tcPr>
            <w:tcW w:w="1039" w:type="dxa"/>
            <w:shd w:val="pct30" w:color="FFFF00" w:fill="FFFFFF"/>
            <w:vAlign w:val="center"/>
          </w:tcPr>
          <w:p w:rsidR="003A6F51" w:rsidRPr="00CC16FB" w:rsidRDefault="003A6F51" w:rsidP="003A6F51">
            <w:pPr>
              <w:spacing w:before="2" w:after="2"/>
              <w:jc w:val="center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Reads/run</w:t>
            </w:r>
          </w:p>
        </w:tc>
        <w:tc>
          <w:tcPr>
            <w:tcW w:w="1981" w:type="dxa"/>
            <w:shd w:val="pct30" w:color="FFFF00" w:fill="FFFFFF"/>
            <w:vAlign w:val="center"/>
          </w:tcPr>
          <w:p w:rsidR="003A6F51" w:rsidRPr="00CC16FB" w:rsidRDefault="003A6F51" w:rsidP="003A6F51">
            <w:pPr>
              <w:spacing w:before="2" w:after="2"/>
              <w:jc w:val="center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Sequencing output/run</w:t>
            </w:r>
          </w:p>
        </w:tc>
        <w:tc>
          <w:tcPr>
            <w:tcW w:w="1031" w:type="dxa"/>
            <w:shd w:val="pct30" w:color="FFFF00" w:fill="FFFFFF"/>
            <w:vAlign w:val="center"/>
          </w:tcPr>
          <w:p w:rsidR="003A6F51" w:rsidRPr="00CC16FB" w:rsidRDefault="003A6F51" w:rsidP="003A6F51">
            <w:pPr>
              <w:spacing w:before="2" w:after="2"/>
              <w:jc w:val="center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Run time</w:t>
            </w:r>
          </w:p>
        </w:tc>
        <w:tc>
          <w:tcPr>
            <w:tcW w:w="4408" w:type="dxa"/>
            <w:shd w:val="pct30" w:color="FFFF00" w:fill="FFFFFF"/>
          </w:tcPr>
          <w:p w:rsidR="003A6F51" w:rsidRPr="00CC16FB" w:rsidRDefault="003A6F51" w:rsidP="003A6F51">
            <w:pPr>
              <w:spacing w:before="2" w:after="2"/>
              <w:jc w:val="center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Advantages</w:t>
            </w:r>
          </w:p>
        </w:tc>
        <w:tc>
          <w:tcPr>
            <w:tcW w:w="2207" w:type="dxa"/>
            <w:shd w:val="pct30" w:color="FFFF00" w:fill="FFFFFF"/>
          </w:tcPr>
          <w:p w:rsidR="003A6F51" w:rsidRPr="00CC16FB" w:rsidRDefault="003A6F51" w:rsidP="003A6F51">
            <w:pPr>
              <w:spacing w:before="2" w:after="2"/>
              <w:jc w:val="center"/>
              <w:rPr>
                <w:rFonts w:ascii="Times" w:eastAsiaTheme="minorHAnsi" w:hAnsi="Times"/>
                <w:szCs w:val="20"/>
                <w:lang w:eastAsia="en-US"/>
              </w:rPr>
            </w:pPr>
            <w:r>
              <w:rPr>
                <w:rFonts w:ascii="Times" w:eastAsiaTheme="minorHAnsi" w:hAnsi="Times"/>
                <w:szCs w:val="20"/>
                <w:lang w:eastAsia="en-US"/>
              </w:rPr>
              <w:t>Primary applications</w:t>
            </w: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Roche</w:t>
            </w:r>
            <w:r>
              <w:rPr>
                <w:rFonts w:ascii="Times" w:eastAsiaTheme="minorHAnsi" w:hAnsi="Times"/>
                <w:szCs w:val="20"/>
                <w:lang w:eastAsia="en-US"/>
              </w:rPr>
              <w:t>/</w:t>
            </w:r>
            <w:r w:rsidRPr="00CC16FB">
              <w:rPr>
                <w:rFonts w:ascii="Times" w:eastAsiaTheme="minorHAnsi" w:hAnsi="Times"/>
                <w:szCs w:val="20"/>
                <w:lang w:eastAsia="en-US"/>
              </w:rPr>
              <w:t>454 GS FLX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400–500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≤500 Mb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 h</w:t>
            </w:r>
          </w:p>
        </w:tc>
        <w:tc>
          <w:tcPr>
            <w:tcW w:w="4408" w:type="dxa"/>
            <w:vMerge w:val="restart"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>
              <w:rPr>
                <w:rFonts w:ascii="Times" w:eastAsiaTheme="minorHAnsi" w:hAnsi="Times"/>
                <w:szCs w:val="20"/>
                <w:lang w:eastAsia="en-US"/>
              </w:rPr>
              <w:t>Longest read lengths among 2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nd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generation, high throughput compared to 1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st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generation sequencing</w:t>
            </w:r>
          </w:p>
        </w:tc>
        <w:tc>
          <w:tcPr>
            <w:tcW w:w="2207" w:type="dxa"/>
            <w:vMerge w:val="restart"/>
          </w:tcPr>
          <w:p w:rsidR="003A6F51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830323">
              <w:rPr>
                <w:rFonts w:ascii="Times" w:eastAsiaTheme="minorHAnsi" w:hAnsi="Times"/>
                <w:szCs w:val="20"/>
                <w:lang w:eastAsia="en-US"/>
              </w:rPr>
              <w:t>1*, 2, 3*, 4, 7, 8*</w:t>
            </w: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>
              <w:rPr>
                <w:rFonts w:ascii="Times" w:eastAsiaTheme="minorHAnsi" w:hAnsi="Times"/>
                <w:szCs w:val="20"/>
                <w:lang w:eastAsia="en-US"/>
              </w:rPr>
              <w:t>Roche/</w:t>
            </w:r>
            <w:r w:rsidRPr="00CC16FB">
              <w:rPr>
                <w:rFonts w:ascii="Times" w:eastAsiaTheme="minorHAnsi" w:hAnsi="Times"/>
                <w:szCs w:val="20"/>
                <w:lang w:eastAsia="en-US"/>
              </w:rPr>
              <w:t>454 GS FLX+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600–800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≤700 Mb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23 h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>
              <w:rPr>
                <w:rFonts w:ascii="Times" w:eastAsiaTheme="minorHAnsi" w:hAnsi="Times"/>
                <w:szCs w:val="20"/>
                <w:lang w:eastAsia="en-US"/>
              </w:rPr>
              <w:t>Roche/</w:t>
            </w:r>
            <w:r w:rsidRPr="00CC16FB">
              <w:rPr>
                <w:rFonts w:ascii="Times" w:eastAsiaTheme="minorHAnsi" w:hAnsi="Times"/>
                <w:szCs w:val="20"/>
                <w:lang w:eastAsia="en-US"/>
              </w:rPr>
              <w:t>454 GS Junior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400–450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5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Menlo Regular" w:eastAsiaTheme="minorHAnsi" w:hAnsi="Menlo Regular" w:cs="Menlo Regular"/>
                <w:szCs w:val="20"/>
                <w:lang w:eastAsia="en-US"/>
              </w:rPr>
              <w:t>∼</w:t>
            </w:r>
            <w:r w:rsidRPr="00CC16FB">
              <w:rPr>
                <w:rFonts w:ascii="Times" w:eastAsiaTheme="minorHAnsi" w:hAnsi="Times"/>
                <w:szCs w:val="20"/>
                <w:lang w:eastAsia="en-US"/>
              </w:rPr>
              <w:t>35 Mb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 h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Illumina 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HiSeq</w:t>
            </w:r>
            <w:proofErr w:type="spellEnd"/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 2000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100–200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6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9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≤540–600 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Gb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11 d</w:t>
            </w:r>
          </w:p>
        </w:tc>
        <w:tc>
          <w:tcPr>
            <w:tcW w:w="4408" w:type="dxa"/>
            <w:vMerge w:val="restart"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>
              <w:rPr>
                <w:rFonts w:ascii="Times" w:eastAsiaTheme="minorHAnsi" w:hAnsi="Times"/>
                <w:szCs w:val="20"/>
                <w:lang w:eastAsia="en-US"/>
              </w:rPr>
              <w:t>Very high throughput</w:t>
            </w:r>
          </w:p>
        </w:tc>
        <w:tc>
          <w:tcPr>
            <w:tcW w:w="2207" w:type="dxa"/>
            <w:vMerge w:val="restart"/>
          </w:tcPr>
          <w:p w:rsidR="003A6F51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830323">
              <w:rPr>
                <w:rFonts w:ascii="Times" w:eastAsiaTheme="minorHAnsi" w:hAnsi="Times"/>
                <w:szCs w:val="20"/>
                <w:lang w:eastAsia="en-US"/>
              </w:rPr>
              <w:t>1*,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</w:t>
            </w:r>
            <w:r w:rsidRPr="00830323">
              <w:rPr>
                <w:rFonts w:ascii="Times" w:eastAsiaTheme="minorHAnsi" w:hAnsi="Times"/>
                <w:szCs w:val="20"/>
                <w:lang w:eastAsia="en-US"/>
              </w:rPr>
              <w:t>2,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</w:t>
            </w:r>
            <w:r w:rsidRPr="00830323">
              <w:rPr>
                <w:rFonts w:ascii="Times" w:eastAsiaTheme="minorHAnsi" w:hAnsi="Times"/>
                <w:szCs w:val="20"/>
                <w:lang w:eastAsia="en-US"/>
              </w:rPr>
              <w:t>3*,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</w:t>
            </w:r>
            <w:r w:rsidRPr="00830323">
              <w:rPr>
                <w:rFonts w:ascii="Times" w:eastAsiaTheme="minorHAnsi" w:hAnsi="Times"/>
                <w:szCs w:val="20"/>
                <w:lang w:eastAsia="en-US"/>
              </w:rPr>
              <w:t>4,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</w:t>
            </w:r>
            <w:r w:rsidRPr="00830323">
              <w:rPr>
                <w:rFonts w:ascii="Times" w:eastAsiaTheme="minorHAnsi" w:hAnsi="Times"/>
                <w:szCs w:val="20"/>
                <w:lang w:eastAsia="en-US"/>
              </w:rPr>
              <w:t>5,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</w:t>
            </w:r>
            <w:r w:rsidRPr="00830323">
              <w:rPr>
                <w:rFonts w:ascii="Times" w:eastAsiaTheme="minorHAnsi" w:hAnsi="Times"/>
                <w:szCs w:val="20"/>
                <w:lang w:eastAsia="en-US"/>
              </w:rPr>
              <w:t>6,</w:t>
            </w:r>
            <w:r>
              <w:rPr>
                <w:rFonts w:ascii="Times" w:eastAsiaTheme="minorHAnsi" w:hAnsi="Times"/>
                <w:szCs w:val="20"/>
                <w:lang w:eastAsia="en-US"/>
              </w:rPr>
              <w:t xml:space="preserve"> 7, </w:t>
            </w:r>
            <w:r w:rsidRPr="00830323">
              <w:rPr>
                <w:rFonts w:ascii="Times" w:eastAsiaTheme="minorHAnsi" w:hAnsi="Times"/>
                <w:szCs w:val="20"/>
                <w:lang w:eastAsia="en-US"/>
              </w:rPr>
              <w:t>8</w:t>
            </w: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Illumina 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HiSeq</w:t>
            </w:r>
            <w:proofErr w:type="spellEnd"/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 1000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100–200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3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9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≤270–300 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Gb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8.5 d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Illumina 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GAIIx</w:t>
            </w:r>
            <w:proofErr w:type="spellEnd"/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50–75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6.4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8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≤95 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Gb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7.5–14.5 d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Illumina 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MiSeq</w:t>
            </w:r>
            <w:proofErr w:type="spellEnd"/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100–150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7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≤1–2 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Gb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19–27 h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AB 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SOLiD</w:t>
            </w:r>
            <w:proofErr w:type="spellEnd"/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 5500 system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35–75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2.4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9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Menlo Regular" w:eastAsiaTheme="minorHAnsi" w:hAnsi="Menlo Regular" w:cs="Menlo Regular"/>
                <w:szCs w:val="20"/>
                <w:lang w:eastAsia="en-US"/>
              </w:rPr>
              <w:t>∼</w:t>
            </w:r>
            <w:r w:rsidRPr="00CC16FB">
              <w:rPr>
                <w:rFonts w:ascii="Times" w:eastAsiaTheme="minorHAnsi" w:hAnsi="Times"/>
                <w:szCs w:val="20"/>
                <w:lang w:eastAsia="en-US"/>
              </w:rPr>
              <w:t>100 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Gb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4 d</w:t>
            </w:r>
          </w:p>
        </w:tc>
        <w:tc>
          <w:tcPr>
            <w:tcW w:w="4408" w:type="dxa"/>
            <w:vMerge w:val="restart"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 w:cs="Helvetica"/>
                <w:color w:val="141413"/>
                <w:szCs w:val="15"/>
                <w:lang w:eastAsia="en-US"/>
              </w:rPr>
              <w:t>Very high throughput; lowest reagent cost needed to reassemble a human genome among the widely accep</w:t>
            </w:r>
            <w:r>
              <w:rPr>
                <w:rFonts w:ascii="Times" w:eastAsiaTheme="minorHAnsi" w:hAnsi="Times" w:cs="Helvetica"/>
                <w:color w:val="141413"/>
                <w:szCs w:val="15"/>
                <w:lang w:eastAsia="en-US"/>
              </w:rPr>
              <w:t>ted 2</w:t>
            </w:r>
            <w:r w:rsidRPr="00830323">
              <w:rPr>
                <w:rFonts w:ascii="Times" w:eastAsiaTheme="minorHAnsi" w:hAnsi="Times" w:cs="Helvetica"/>
                <w:color w:val="141413"/>
                <w:szCs w:val="15"/>
                <w:vertAlign w:val="superscript"/>
                <w:lang w:eastAsia="en-US"/>
              </w:rPr>
              <w:t>nd</w:t>
            </w:r>
            <w:r>
              <w:rPr>
                <w:rFonts w:ascii="Times" w:eastAsiaTheme="minorHAnsi" w:hAnsi="Times" w:cs="Helvetica"/>
                <w:color w:val="141413"/>
                <w:szCs w:val="15"/>
                <w:lang w:eastAsia="en-US"/>
              </w:rPr>
              <w:t xml:space="preserve"> generation platforms, lower error rate</w:t>
            </w:r>
          </w:p>
        </w:tc>
        <w:tc>
          <w:tcPr>
            <w:tcW w:w="2207" w:type="dxa"/>
            <w:vMerge w:val="restart"/>
          </w:tcPr>
          <w:p w:rsidR="003A6F51" w:rsidRPr="00830323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830323">
              <w:rPr>
                <w:rFonts w:ascii="Times" w:eastAsiaTheme="minorHAnsi" w:hAnsi="Times"/>
                <w:szCs w:val="20"/>
                <w:lang w:eastAsia="en-US"/>
              </w:rPr>
              <w:t>3*, 5, 6, 8</w:t>
            </w: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AB 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SOLiD</w:t>
            </w:r>
            <w:proofErr w:type="spellEnd"/>
            <w:r w:rsidRPr="00CC16FB">
              <w:rPr>
                <w:rFonts w:ascii="Times" w:eastAsiaTheme="minorHAnsi" w:hAnsi="Times"/>
                <w:szCs w:val="20"/>
                <w:lang w:eastAsia="en-US"/>
              </w:rPr>
              <w:t xml:space="preserve"> 5500 xl system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35–75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6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9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Menlo Regular" w:eastAsiaTheme="minorHAnsi" w:hAnsi="Menlo Regular" w:cs="Menlo Regular"/>
                <w:szCs w:val="20"/>
                <w:lang w:eastAsia="en-US"/>
              </w:rPr>
              <w:t>∼</w:t>
            </w:r>
            <w:r w:rsidRPr="00CC16FB">
              <w:rPr>
                <w:rFonts w:ascii="Times" w:eastAsiaTheme="minorHAnsi" w:hAnsi="Times"/>
                <w:szCs w:val="20"/>
                <w:lang w:eastAsia="en-US"/>
              </w:rPr>
              <w:t>250 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Gb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7–8 d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Ion Torrent -314 chip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100–200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≥10 Mb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3.5 h</w:t>
            </w:r>
          </w:p>
        </w:tc>
        <w:tc>
          <w:tcPr>
            <w:tcW w:w="4408" w:type="dxa"/>
            <w:vMerge w:val="restart"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>
              <w:rPr>
                <w:rFonts w:ascii="Times" w:eastAsiaTheme="minorHAnsi" w:hAnsi="Times" w:cs="Helvetica"/>
                <w:color w:val="141413"/>
                <w:szCs w:val="15"/>
                <w:lang w:eastAsia="en-US"/>
              </w:rPr>
              <w:t>Direct measurement of nucleotide</w:t>
            </w:r>
            <w:r w:rsidRPr="00CC16FB">
              <w:rPr>
                <w:rFonts w:ascii="Times" w:eastAsiaTheme="minorHAnsi" w:hAnsi="Times" w:cs="Helvetica"/>
                <w:color w:val="141413"/>
                <w:szCs w:val="15"/>
                <w:lang w:eastAsia="en-US"/>
              </w:rPr>
              <w:t xml:space="preserve"> incorporation events; DNA synthesis reaction operates under natural conditions (no need for modi</w:t>
            </w:r>
            <w:r>
              <w:rPr>
                <w:rFonts w:ascii="Times" w:eastAsiaTheme="minorHAnsi" w:hAnsi="Helvetica" w:cs="Helvetica"/>
                <w:color w:val="141413"/>
                <w:szCs w:val="15"/>
                <w:lang w:eastAsia="en-US"/>
              </w:rPr>
              <w:t>fi</w:t>
            </w:r>
            <w:r w:rsidRPr="00CC16FB">
              <w:rPr>
                <w:rFonts w:ascii="Times" w:eastAsiaTheme="minorHAnsi" w:hAnsi="Times" w:cs="Helvetica"/>
                <w:color w:val="141413"/>
                <w:szCs w:val="15"/>
                <w:lang w:eastAsia="en-US"/>
              </w:rPr>
              <w:t>ed DNA bases)</w:t>
            </w:r>
          </w:p>
        </w:tc>
        <w:tc>
          <w:tcPr>
            <w:tcW w:w="2207" w:type="dxa"/>
            <w:vMerge w:val="restart"/>
          </w:tcPr>
          <w:p w:rsidR="003A6F51" w:rsidRPr="00830323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830323">
              <w:rPr>
                <w:rFonts w:ascii="Times" w:eastAsiaTheme="minorHAnsi" w:hAnsi="Times"/>
                <w:szCs w:val="20"/>
                <w:lang w:eastAsia="en-US"/>
              </w:rPr>
              <w:t>1, 2, 3, 4, 8</w:t>
            </w: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Ion Torrent -316 chip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100–200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6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≥100 Mb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4.7 h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  <w:tr w:rsidR="003A6F51" w:rsidRPr="00CC16FB">
        <w:tc>
          <w:tcPr>
            <w:tcW w:w="2172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Ion Torrent -318 chip</w:t>
            </w:r>
          </w:p>
        </w:tc>
        <w:tc>
          <w:tcPr>
            <w:tcW w:w="1430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100–200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11 × 10</w:t>
            </w:r>
            <w:r w:rsidRPr="00CC16FB">
              <w:rPr>
                <w:rFonts w:ascii="Times" w:eastAsiaTheme="minorHAnsi" w:hAnsi="Times"/>
                <w:szCs w:val="20"/>
                <w:vertAlign w:val="superscript"/>
                <w:lang w:eastAsia="en-US"/>
              </w:rPr>
              <w:t>6</w:t>
            </w:r>
          </w:p>
        </w:tc>
        <w:tc>
          <w:tcPr>
            <w:tcW w:w="198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≥1 </w:t>
            </w:r>
            <w:proofErr w:type="spellStart"/>
            <w:r w:rsidRPr="00CC16FB">
              <w:rPr>
                <w:rFonts w:ascii="Times" w:eastAsiaTheme="minorHAnsi" w:hAnsi="Times"/>
                <w:szCs w:val="20"/>
                <w:lang w:eastAsia="en-US"/>
              </w:rPr>
              <w:t>Gb</w:t>
            </w:r>
            <w:proofErr w:type="spellEnd"/>
          </w:p>
        </w:tc>
        <w:tc>
          <w:tcPr>
            <w:tcW w:w="1031" w:type="dxa"/>
            <w:shd w:val="clear" w:color="auto" w:fill="auto"/>
            <w:vAlign w:val="center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  <w:r w:rsidRPr="00CC16FB">
              <w:rPr>
                <w:rFonts w:ascii="Times" w:eastAsiaTheme="minorHAnsi" w:hAnsi="Times"/>
                <w:szCs w:val="20"/>
                <w:lang w:eastAsia="en-US"/>
              </w:rPr>
              <w:t>5.5 h</w:t>
            </w:r>
          </w:p>
        </w:tc>
        <w:tc>
          <w:tcPr>
            <w:tcW w:w="4408" w:type="dxa"/>
            <w:vMerge/>
            <w:shd w:val="clear" w:color="auto" w:fill="auto"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  <w:tc>
          <w:tcPr>
            <w:tcW w:w="2207" w:type="dxa"/>
            <w:vMerge/>
          </w:tcPr>
          <w:p w:rsidR="003A6F51" w:rsidRPr="00CC16FB" w:rsidRDefault="003A6F51" w:rsidP="003A6F51">
            <w:pPr>
              <w:spacing w:before="2" w:after="2"/>
              <w:rPr>
                <w:rFonts w:ascii="Times" w:eastAsiaTheme="minorHAnsi" w:hAnsi="Times"/>
                <w:szCs w:val="20"/>
                <w:lang w:eastAsia="en-US"/>
              </w:rPr>
            </w:pPr>
          </w:p>
        </w:tc>
      </w:tr>
    </w:tbl>
    <w:p w:rsidR="003A6F51" w:rsidRDefault="003A6F51" w:rsidP="003A6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141413"/>
          <w:szCs w:val="15"/>
          <w:lang w:eastAsia="en-US"/>
        </w:rPr>
      </w:pP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>Bold indicates applications that are most oft</w:t>
      </w:r>
      <w:r>
        <w:rPr>
          <w:rFonts w:ascii="Times" w:eastAsiaTheme="minorHAnsi" w:hAnsi="Times" w:cs="Times"/>
          <w:color w:val="141413"/>
          <w:szCs w:val="15"/>
          <w:lang w:eastAsia="en-US"/>
        </w:rPr>
        <w:t>en used, economical or growing</w:t>
      </w:r>
    </w:p>
    <w:p w:rsidR="003A6F51" w:rsidRDefault="003A6F51" w:rsidP="003A6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141413"/>
          <w:szCs w:val="15"/>
          <w:lang w:eastAsia="en-US"/>
        </w:rPr>
      </w:pP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1 = de novo </w:t>
      </w:r>
      <w:proofErr w:type="spellStart"/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>BACs</w:t>
      </w:r>
      <w:proofErr w:type="spellEnd"/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, plastids, microbial genomes. </w:t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2 = transcriptome characterization. </w:t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</w:p>
    <w:p w:rsidR="003A6F51" w:rsidRDefault="003A6F51" w:rsidP="003A6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141413"/>
          <w:szCs w:val="15"/>
          <w:lang w:eastAsia="en-US"/>
        </w:rPr>
      </w:pP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>3 = targeted re-sequencing.</w:t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4 = de novo plant and animal genomes. </w:t>
      </w:r>
    </w:p>
    <w:p w:rsidR="003A6F51" w:rsidRDefault="003A6F51" w:rsidP="003A6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141413"/>
          <w:szCs w:val="15"/>
          <w:lang w:eastAsia="en-US"/>
        </w:rPr>
      </w:pP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5 = re-sequencing and transcript counting. </w:t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  <w:t>6 = mutation detection.</w:t>
      </w:r>
    </w:p>
    <w:p w:rsidR="003A6F51" w:rsidRDefault="003A6F51" w:rsidP="003A6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141413"/>
          <w:szCs w:val="15"/>
          <w:lang w:eastAsia="en-US"/>
        </w:rPr>
      </w:pP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7 = </w:t>
      </w:r>
      <w:proofErr w:type="spellStart"/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>metagenomics</w:t>
      </w:r>
      <w:proofErr w:type="spellEnd"/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. </w:t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>
        <w:rPr>
          <w:rFonts w:ascii="Times" w:eastAsiaTheme="minorHAnsi" w:hAnsi="Times" w:cs="Times"/>
          <w:color w:val="141413"/>
          <w:szCs w:val="15"/>
          <w:lang w:eastAsia="en-US"/>
        </w:rPr>
        <w:tab/>
      </w: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 xml:space="preserve">8 = other </w:t>
      </w:r>
    </w:p>
    <w:p w:rsidR="003A6F51" w:rsidRDefault="003A6F51" w:rsidP="003A6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" w:eastAsiaTheme="minorHAnsi" w:hAnsi="Times" w:cs="Times"/>
          <w:color w:val="141413"/>
          <w:szCs w:val="15"/>
          <w:lang w:eastAsia="en-US"/>
        </w:rPr>
      </w:pPr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>*Pooling multiple samples with seq</w:t>
      </w:r>
      <w:r>
        <w:rPr>
          <w:rFonts w:ascii="Times" w:eastAsiaTheme="minorHAnsi" w:hAnsi="Times" w:cs="Times"/>
          <w:color w:val="141413"/>
          <w:szCs w:val="15"/>
          <w:lang w:eastAsia="en-US"/>
        </w:rPr>
        <w:t xml:space="preserve">uence tags (i.e. </w:t>
      </w:r>
      <w:proofErr w:type="spellStart"/>
      <w:r>
        <w:rPr>
          <w:rFonts w:ascii="Times" w:eastAsiaTheme="minorHAnsi" w:hAnsi="Times" w:cs="Times"/>
          <w:color w:val="141413"/>
          <w:szCs w:val="15"/>
          <w:lang w:eastAsia="en-US"/>
        </w:rPr>
        <w:t>MIDs</w:t>
      </w:r>
      <w:proofErr w:type="spellEnd"/>
      <w:r w:rsidRPr="00830323">
        <w:rPr>
          <w:rFonts w:ascii="Times" w:eastAsiaTheme="minorHAnsi" w:hAnsi="Times" w:cs="Times"/>
          <w:color w:val="141413"/>
          <w:szCs w:val="15"/>
          <w:lang w:eastAsia="en-US"/>
        </w:rPr>
        <w:t>) is required for ef</w:t>
      </w:r>
      <w:r>
        <w:rPr>
          <w:rFonts w:ascii="Times" w:eastAsiaTheme="minorHAnsi" w:hAnsi="Times" w:cs="Times"/>
          <w:color w:val="141413"/>
          <w:szCs w:val="15"/>
          <w:lang w:eastAsia="en-US"/>
        </w:rPr>
        <w:t>ficient use of this application</w:t>
      </w:r>
    </w:p>
    <w:p w:rsidR="003A6F51" w:rsidRDefault="003A6F51">
      <w:pPr>
        <w:sectPr w:rsidR="003A6F51" w:rsidSect="00D44AC5">
          <w:pgSz w:w="16838" w:h="11899" w:orient="landscape"/>
          <w:pgMar w:top="1800" w:right="1440" w:bottom="1418" w:left="1440" w:header="708" w:footer="708" w:gutter="0"/>
          <w:cols w:space="708"/>
          <w:printerSettings r:id="rId4"/>
        </w:sectPr>
      </w:pPr>
    </w:p>
    <w:p w:rsidR="003A6F51" w:rsidRDefault="003A6F51"/>
    <w:sectPr w:rsidR="003A6F51" w:rsidSect="003A6F51">
      <w:pgSz w:w="11899" w:h="16838"/>
      <w:pgMar w:top="1440" w:right="1800" w:bottom="1440" w:left="180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6F51"/>
    <w:rsid w:val="00065AAB"/>
    <w:rsid w:val="003A6F51"/>
    <w:rsid w:val="00D44AC5"/>
  </w:rsids>
  <m:mathPr>
    <m:mathFont m:val="04b0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51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F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F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Caption">
    <w:name w:val="caption"/>
    <w:basedOn w:val="Normal"/>
    <w:next w:val="Normal"/>
    <w:unhideWhenUsed/>
    <w:qFormat/>
    <w:rsid w:val="003A6F5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printerSettings" Target="printerSettings/printerSettings2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1466</Words>
  <Characters>8361</Characters>
  <Application>Microsoft Macintosh Word</Application>
  <DocSecurity>0</DocSecurity>
  <Lines>69</Lines>
  <Paragraphs>16</Paragraphs>
  <ScaleCrop>false</ScaleCrop>
  <Company>SANBI</Company>
  <LinksUpToDate>false</LinksUpToDate>
  <CharactersWithSpaces>10267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Shrestha</dc:creator>
  <cp:keywords/>
  <cp:lastModifiedBy>Ram Shrestha</cp:lastModifiedBy>
  <cp:revision>3</cp:revision>
  <dcterms:created xsi:type="dcterms:W3CDTF">2013-11-10T17:43:00Z</dcterms:created>
  <dcterms:modified xsi:type="dcterms:W3CDTF">2013-11-10T18:05:00Z</dcterms:modified>
</cp:coreProperties>
</file>