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C7176" w:rsidRPr="00382E3E" w:rsidRDefault="00AC7176" w:rsidP="00AC7176">
      <w:pPr>
        <w:pStyle w:val="Style11"/>
        <w:numPr>
          <w:ilvl w:val="0"/>
          <w:numId w:val="0"/>
        </w:numPr>
        <w:rPr>
          <w:color w:val="auto"/>
        </w:rPr>
      </w:pPr>
      <w:bookmarkStart w:id="0" w:name="_Toc260790025"/>
      <w:r>
        <w:rPr>
          <w:color w:val="auto"/>
        </w:rPr>
        <w:t>Chapter</w:t>
      </w:r>
      <w:r w:rsidRPr="00382E3E">
        <w:rPr>
          <w:color w:val="auto"/>
        </w:rPr>
        <w:t xml:space="preserve"> Outline</w:t>
      </w:r>
      <w:bookmarkEnd w:id="0"/>
    </w:p>
    <w:p w:rsidR="00AC7176" w:rsidRPr="00382E3E" w:rsidRDefault="00AC7176" w:rsidP="00AC7176">
      <w:pPr>
        <w:spacing w:line="480" w:lineRule="auto"/>
        <w:jc w:val="both"/>
        <w:rPr>
          <w:rFonts w:ascii="Times New Roman" w:hAnsi="Times New Roman" w:cs="Times New Roman"/>
        </w:rPr>
      </w:pPr>
    </w:p>
    <w:p w:rsidR="00AC7176" w:rsidRDefault="00816B04" w:rsidP="00AC7176">
      <w:pPr>
        <w:spacing w:line="480" w:lineRule="auto"/>
        <w:jc w:val="both"/>
        <w:rPr>
          <w:rFonts w:ascii="Times New Roman" w:hAnsi="Times New Roman" w:cs="Times New Roman"/>
        </w:rPr>
      </w:pPr>
      <w:r>
        <w:rPr>
          <w:rFonts w:ascii="Times New Roman" w:hAnsi="Times New Roman" w:cs="Times New Roman"/>
        </w:rPr>
        <w:t>Chapter 2: This</w:t>
      </w:r>
      <w:r w:rsidR="00AC7176" w:rsidRPr="00382E3E">
        <w:rPr>
          <w:rFonts w:ascii="Times New Roman" w:hAnsi="Times New Roman" w:cs="Times New Roman"/>
        </w:rPr>
        <w:t xml:space="preserve"> chapter intr</w:t>
      </w:r>
      <w:r w:rsidR="00AC7176">
        <w:rPr>
          <w:rFonts w:ascii="Times New Roman" w:hAnsi="Times New Roman" w:cs="Times New Roman"/>
        </w:rPr>
        <w:t>oduces and describes</w:t>
      </w:r>
      <w:r w:rsidR="00AC7176" w:rsidRPr="00382E3E">
        <w:rPr>
          <w:rFonts w:ascii="Times New Roman" w:hAnsi="Times New Roman" w:cs="Times New Roman"/>
        </w:rPr>
        <w:t xml:space="preserve"> a novel algorithm </w:t>
      </w:r>
      <w:r w:rsidR="00AC7176">
        <w:rPr>
          <w:rFonts w:ascii="Times New Roman" w:hAnsi="Times New Roman" w:cs="Times New Roman"/>
        </w:rPr>
        <w:t xml:space="preserve">- </w:t>
      </w:r>
      <w:r w:rsidR="00AC7176" w:rsidRPr="00382E3E">
        <w:rPr>
          <w:rFonts w:ascii="Times New Roman" w:hAnsi="Times New Roman" w:cs="Times New Roman"/>
        </w:rPr>
        <w:t xml:space="preserve">QTrim </w:t>
      </w:r>
      <w:r w:rsidR="00AC7176">
        <w:rPr>
          <w:rFonts w:ascii="Times New Roman" w:hAnsi="Times New Roman" w:cs="Times New Roman"/>
        </w:rPr>
        <w:t xml:space="preserve">designed </w:t>
      </w:r>
      <w:r w:rsidR="00AC7176" w:rsidRPr="00382E3E">
        <w:rPr>
          <w:rFonts w:ascii="Times New Roman" w:hAnsi="Times New Roman" w:cs="Times New Roman"/>
        </w:rPr>
        <w:t xml:space="preserve">for quality trimming of Roche/454 ultra-deep high </w:t>
      </w:r>
      <w:r w:rsidR="00AC7176">
        <w:rPr>
          <w:rFonts w:ascii="Times New Roman" w:hAnsi="Times New Roman" w:cs="Times New Roman"/>
        </w:rPr>
        <w:t xml:space="preserve">throughput sequence data and its performance comparison with other widely used tools. The comparison result shows </w:t>
      </w:r>
      <w:r w:rsidR="00AC7176" w:rsidRPr="00AC7176">
        <w:rPr>
          <w:rFonts w:ascii="Times New Roman" w:hAnsi="Times New Roman" w:cs="Times New Roman"/>
        </w:rPr>
        <w:t>that QTrim is comparable to the next best tool while quality trimming a good quality data set and outperforms all the tools while trimming a poor quality data set. The tool has just been published in the journal “BMC Bioinformatics” (</w:t>
      </w:r>
      <w:r w:rsidR="00AC7176" w:rsidRPr="00AC7176">
        <w:rPr>
          <w:rFonts w:ascii="Times New Roman" w:eastAsiaTheme="minorHAnsi" w:hAnsi="Times New Roman" w:cs="Helvetica"/>
          <w:lang w:eastAsia="en-US"/>
        </w:rPr>
        <w:t xml:space="preserve">Shrestha, RK, Lubinsky, B, Bansode, VB, Moinz, MB, McCormack, GP, Travers, SA (2014) QTrim: a novel tool for the quality trimming of sequence reads generated using the Roche/454 sequencing platform. </w:t>
      </w:r>
      <w:r w:rsidR="00AC7176" w:rsidRPr="00AC7176">
        <w:rPr>
          <w:rFonts w:ascii="Times New Roman" w:eastAsiaTheme="minorHAnsi" w:hAnsi="Times New Roman" w:cs="Helvetica"/>
          <w:i/>
          <w:iCs/>
          <w:lang w:eastAsia="en-US"/>
        </w:rPr>
        <w:t>BMC Bioinformatics</w:t>
      </w:r>
      <w:r w:rsidR="00AC7176" w:rsidRPr="00AC7176">
        <w:rPr>
          <w:rFonts w:ascii="Times New Roman" w:eastAsiaTheme="minorHAnsi" w:hAnsi="Times New Roman" w:cs="Helvetica"/>
          <w:lang w:eastAsia="en-US"/>
        </w:rPr>
        <w:t xml:space="preserve"> </w:t>
      </w:r>
      <w:r w:rsidR="00AC7176" w:rsidRPr="00AC7176">
        <w:rPr>
          <w:rFonts w:ascii="Times New Roman" w:eastAsiaTheme="minorHAnsi" w:hAnsi="Times New Roman" w:cs="Helvetica"/>
          <w:b/>
          <w:bCs/>
          <w:lang w:eastAsia="en-US"/>
        </w:rPr>
        <w:t>15</w:t>
      </w:r>
      <w:r w:rsidR="00AC7176" w:rsidRPr="00AC7176">
        <w:rPr>
          <w:rFonts w:ascii="Times New Roman" w:eastAsiaTheme="minorHAnsi" w:hAnsi="Times New Roman" w:cs="Helvetica"/>
          <w:lang w:eastAsia="en-US"/>
        </w:rPr>
        <w:t>: 33).</w:t>
      </w:r>
    </w:p>
    <w:p w:rsidR="00AC7176" w:rsidRPr="00382E3E" w:rsidRDefault="00AC7176" w:rsidP="00AC7176">
      <w:pPr>
        <w:spacing w:line="480" w:lineRule="auto"/>
        <w:jc w:val="both"/>
        <w:rPr>
          <w:rFonts w:ascii="Times New Roman" w:hAnsi="Times New Roman" w:cs="Times New Roman"/>
        </w:rPr>
      </w:pPr>
    </w:p>
    <w:p w:rsidR="00AC7176" w:rsidRPr="00382E3E" w:rsidRDefault="00816B04" w:rsidP="00AC7176">
      <w:pPr>
        <w:spacing w:line="480" w:lineRule="auto"/>
        <w:jc w:val="both"/>
        <w:rPr>
          <w:rFonts w:ascii="Times New Roman" w:hAnsi="Times New Roman" w:cs="Times New Roman"/>
        </w:rPr>
      </w:pPr>
      <w:r>
        <w:rPr>
          <w:rFonts w:ascii="Times New Roman" w:hAnsi="Times New Roman" w:cs="Times New Roman"/>
        </w:rPr>
        <w:t>Chapter 3: This</w:t>
      </w:r>
      <w:r w:rsidR="00AC7176" w:rsidRPr="00382E3E">
        <w:rPr>
          <w:rFonts w:ascii="Times New Roman" w:hAnsi="Times New Roman" w:cs="Times New Roman"/>
        </w:rPr>
        <w:t xml:space="preserve"> chapter </w:t>
      </w:r>
      <w:r w:rsidR="004A5BEB">
        <w:rPr>
          <w:rFonts w:ascii="Times New Roman" w:hAnsi="Times New Roman" w:cs="Times New Roman"/>
        </w:rPr>
        <w:t>introduces and discusses</w:t>
      </w:r>
      <w:r w:rsidR="00AC7176" w:rsidRPr="00382E3E">
        <w:rPr>
          <w:rFonts w:ascii="Times New Roman" w:hAnsi="Times New Roman" w:cs="Times New Roman"/>
        </w:rPr>
        <w:t xml:space="preserve"> </w:t>
      </w:r>
      <w:r>
        <w:rPr>
          <w:rFonts w:ascii="Times New Roman" w:hAnsi="Times New Roman" w:cs="Times New Roman"/>
        </w:rPr>
        <w:t xml:space="preserve">the application of primer ID technology developed by Jabara and colleagues </w:t>
      </w:r>
      <w:r>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noProof/>
        </w:rPr>
        <w:t>(Jabara et al., 2011)</w:t>
      </w:r>
      <w:r>
        <w:rPr>
          <w:rFonts w:ascii="Times New Roman" w:hAnsi="Times New Roman" w:cs="Times New Roman"/>
        </w:rPr>
        <w:fldChar w:fldCharType="end"/>
      </w:r>
      <w:r w:rsidR="00055F8F">
        <w:rPr>
          <w:rFonts w:ascii="Times New Roman" w:hAnsi="Times New Roman" w:cs="Times New Roman"/>
        </w:rPr>
        <w:t xml:space="preserve"> to reduce the PCR and sequencing errors</w:t>
      </w:r>
      <w:r>
        <w:rPr>
          <w:rFonts w:ascii="Times New Roman" w:hAnsi="Times New Roman" w:cs="Times New Roman"/>
        </w:rPr>
        <w:t>. We developed a module to analyze ultra deep pyrosequence genotypic data generated using primer ID technology as a part of Seq2Res drug resistance testing pipeline.</w:t>
      </w:r>
      <w:r w:rsidR="004A5BEB">
        <w:rPr>
          <w:rFonts w:ascii="Times New Roman" w:hAnsi="Times New Roman" w:cs="Times New Roman"/>
        </w:rPr>
        <w:t xml:space="preserve"> We talk through the workflow of the primer ID module to </w:t>
      </w:r>
      <w:r w:rsidR="00055F8F">
        <w:rPr>
          <w:rFonts w:ascii="Times New Roman" w:hAnsi="Times New Roman" w:cs="Times New Roman"/>
        </w:rPr>
        <w:t>generation of consensus sequences from the sequence reads with same primer ID tag. We also discuss the limitations of the technology like primer ID collision and underrepresentation of the HIV variants in the viral population.</w:t>
      </w:r>
    </w:p>
    <w:p w:rsidR="00AC7176" w:rsidRPr="00382E3E" w:rsidRDefault="00AC7176" w:rsidP="00AC7176">
      <w:pPr>
        <w:spacing w:line="480" w:lineRule="auto"/>
        <w:jc w:val="both"/>
        <w:rPr>
          <w:rFonts w:ascii="Times New Roman" w:hAnsi="Times New Roman" w:cs="Times New Roman"/>
        </w:rPr>
      </w:pPr>
    </w:p>
    <w:p w:rsidR="00055F8F" w:rsidRDefault="00055F8F" w:rsidP="00AC7176">
      <w:pPr>
        <w:spacing w:line="480" w:lineRule="auto"/>
        <w:jc w:val="both"/>
        <w:rPr>
          <w:rFonts w:ascii="Times New Roman" w:hAnsi="Times New Roman" w:cs="Times New Roman"/>
        </w:rPr>
      </w:pPr>
      <w:r>
        <w:rPr>
          <w:rFonts w:ascii="Times New Roman" w:hAnsi="Times New Roman" w:cs="Times New Roman"/>
        </w:rPr>
        <w:t>Chapter 4: This</w:t>
      </w:r>
      <w:r w:rsidR="00AC7176" w:rsidRPr="00382E3E">
        <w:rPr>
          <w:rFonts w:ascii="Times New Roman" w:hAnsi="Times New Roman" w:cs="Times New Roman"/>
        </w:rPr>
        <w:t xml:space="preserve"> chapter introduces and describes </w:t>
      </w:r>
      <w:r>
        <w:rPr>
          <w:rFonts w:ascii="Times New Roman" w:hAnsi="Times New Roman" w:cs="Times New Roman"/>
        </w:rPr>
        <w:t>Seq2Res</w:t>
      </w:r>
      <w:r w:rsidR="00AC7176" w:rsidRPr="00382E3E">
        <w:rPr>
          <w:rFonts w:ascii="Times New Roman" w:hAnsi="Times New Roman" w:cs="Times New Roman"/>
        </w:rPr>
        <w:t xml:space="preserve"> computational pipeline that facilitates low cost HIV drug resistance test. The chapter describes a workflow of the pipeline, the requirements of the pipeline, HIV drug resistance output files and plots t</w:t>
      </w:r>
      <w:r>
        <w:rPr>
          <w:rFonts w:ascii="Times New Roman" w:hAnsi="Times New Roman" w:cs="Times New Roman"/>
        </w:rPr>
        <w:t xml:space="preserve">hat summaries overall analysis. We evaluated and validated </w:t>
      </w:r>
      <w:r w:rsidR="0023321A">
        <w:rPr>
          <w:rFonts w:ascii="Times New Roman" w:hAnsi="Times New Roman" w:cs="Times New Roman"/>
        </w:rPr>
        <w:t xml:space="preserve">drug resistant mutation calls in </w:t>
      </w:r>
      <w:r>
        <w:rPr>
          <w:rFonts w:ascii="Times New Roman" w:hAnsi="Times New Roman" w:cs="Times New Roman"/>
        </w:rPr>
        <w:t xml:space="preserve">Seq2Res pipeline </w:t>
      </w:r>
      <w:r w:rsidR="0023321A">
        <w:rPr>
          <w:rFonts w:ascii="Times New Roman" w:hAnsi="Times New Roman" w:cs="Times New Roman"/>
        </w:rPr>
        <w:t xml:space="preserve">in comparison with the Stanford HIV drug resistance interpretation algorithm using the two biological datasets downloaded from Stanford Database. </w:t>
      </w:r>
      <w:r w:rsidR="00513FA7">
        <w:rPr>
          <w:rFonts w:ascii="Times New Roman" w:hAnsi="Times New Roman" w:cs="Times New Roman"/>
        </w:rPr>
        <w:t>We validated the</w:t>
      </w:r>
      <w:r w:rsidR="00CE104A">
        <w:rPr>
          <w:rFonts w:ascii="Times New Roman" w:hAnsi="Times New Roman" w:cs="Times New Roman"/>
        </w:rPr>
        <w:t xml:space="preserve"> prevalence call of the drug resistant mutations in Seq2Res pipeline </w:t>
      </w:r>
      <w:r w:rsidR="008A0B14">
        <w:rPr>
          <w:rFonts w:ascii="Times New Roman" w:hAnsi="Times New Roman" w:cs="Times New Roman"/>
        </w:rPr>
        <w:t>using five simulation datasets with known prevalence of kno</w:t>
      </w:r>
      <w:r w:rsidR="00513FA7">
        <w:rPr>
          <w:rFonts w:ascii="Times New Roman" w:hAnsi="Times New Roman" w:cs="Times New Roman"/>
        </w:rPr>
        <w:t>wn drug resistant mutations.</w:t>
      </w:r>
      <w:r w:rsidR="00D73C71">
        <w:rPr>
          <w:rFonts w:ascii="Times New Roman" w:hAnsi="Times New Roman" w:cs="Times New Roman"/>
        </w:rPr>
        <w:t xml:space="preserve"> We observed that regardless</w:t>
      </w:r>
      <w:r w:rsidR="00D73C71" w:rsidRPr="00D73C71">
        <w:t xml:space="preserve"> </w:t>
      </w:r>
      <w:r w:rsidR="00D73C71">
        <w:t>of the prevalence level of the drug resistant mutations in the dataset, Seq2Res is capable of accurately identifying their presence at the correct prevalence level.</w:t>
      </w:r>
    </w:p>
    <w:p w:rsidR="00AC7176" w:rsidRPr="00382E3E" w:rsidRDefault="00AC7176" w:rsidP="00AC7176">
      <w:pPr>
        <w:spacing w:line="480" w:lineRule="auto"/>
        <w:jc w:val="both"/>
        <w:rPr>
          <w:rFonts w:ascii="Times New Roman" w:hAnsi="Times New Roman" w:cs="Times New Roman"/>
        </w:rPr>
      </w:pPr>
    </w:p>
    <w:p w:rsidR="00B054D3" w:rsidRDefault="00AC7176" w:rsidP="00AC7176">
      <w:pPr>
        <w:spacing w:line="480" w:lineRule="auto"/>
        <w:jc w:val="both"/>
      </w:pPr>
      <w:r w:rsidRPr="00382E3E">
        <w:rPr>
          <w:rFonts w:ascii="Times New Roman" w:hAnsi="Times New Roman" w:cs="Times New Roman"/>
        </w:rPr>
        <w:t xml:space="preserve">Chapter 5: </w:t>
      </w:r>
      <w:r w:rsidR="00712B5A">
        <w:rPr>
          <w:rFonts w:ascii="Times New Roman" w:hAnsi="Times New Roman" w:cs="Times New Roman"/>
        </w:rPr>
        <w:t xml:space="preserve">After validation of Seq2Res pipeline, </w:t>
      </w:r>
      <w:r w:rsidR="00815033">
        <w:rPr>
          <w:rFonts w:ascii="Times New Roman" w:hAnsi="Times New Roman" w:cs="Times New Roman"/>
        </w:rPr>
        <w:t xml:space="preserve">in this chapter, </w:t>
      </w:r>
      <w:r w:rsidR="00712B5A">
        <w:rPr>
          <w:rFonts w:ascii="Times New Roman" w:hAnsi="Times New Roman" w:cs="Times New Roman"/>
        </w:rPr>
        <w:t xml:space="preserve">we </w:t>
      </w:r>
      <w:r w:rsidR="00A6000F">
        <w:rPr>
          <w:rFonts w:ascii="Times New Roman" w:hAnsi="Times New Roman" w:cs="Times New Roman"/>
        </w:rPr>
        <w:t xml:space="preserve">discuss the application of </w:t>
      </w:r>
      <w:r w:rsidR="00712B5A">
        <w:rPr>
          <w:rFonts w:ascii="Times New Roman" w:hAnsi="Times New Roman" w:cs="Times New Roman"/>
        </w:rPr>
        <w:t xml:space="preserve">Seq2Res to analyze 471 samples generated using Roche/454 Junior platform and 630 samples generated using Roche/454 FLX platform from HIV infected individuals generated as part of CIPRA-SA </w:t>
      </w:r>
      <w:r w:rsidR="00712B5A">
        <w:t xml:space="preserve">(Comprehensive </w:t>
      </w:r>
      <w:r w:rsidR="00712B5A" w:rsidRPr="00376D76">
        <w:t>International Program for Research in AIDS in South Africa</w:t>
      </w:r>
      <w:r w:rsidR="00712B5A">
        <w:t>) study.</w:t>
      </w:r>
      <w:r w:rsidR="00B054D3">
        <w:t xml:space="preserve"> We observed the following results from the </w:t>
      </w:r>
      <w:r w:rsidR="00815033">
        <w:t xml:space="preserve">data analysis </w:t>
      </w:r>
      <w:r w:rsidR="00B054D3">
        <w:t>with Seq2Res:</w:t>
      </w:r>
    </w:p>
    <w:p w:rsidR="005155B1" w:rsidRPr="005155B1" w:rsidRDefault="00815033" w:rsidP="00B054D3">
      <w:pPr>
        <w:pStyle w:val="ListParagraph"/>
        <w:numPr>
          <w:ilvl w:val="0"/>
          <w:numId w:val="14"/>
        </w:numPr>
        <w:spacing w:line="480" w:lineRule="auto"/>
        <w:jc w:val="both"/>
        <w:rPr>
          <w:rFonts w:ascii="Times New Roman" w:hAnsi="Times New Roman" w:cs="Times New Roman"/>
        </w:rPr>
      </w:pPr>
      <w:r>
        <w:t>Roche/454 Junior platform and Roche/454 FLX platform were comparable at HIV drug resistance</w:t>
      </w:r>
      <w:r w:rsidR="00B054D3">
        <w:t xml:space="preserve"> genotyping.</w:t>
      </w:r>
    </w:p>
    <w:p w:rsidR="00B054D3" w:rsidRPr="00B054D3" w:rsidRDefault="005155B1" w:rsidP="00B054D3">
      <w:pPr>
        <w:pStyle w:val="ListParagraph"/>
        <w:numPr>
          <w:ilvl w:val="0"/>
          <w:numId w:val="14"/>
        </w:numPr>
        <w:spacing w:line="480" w:lineRule="auto"/>
        <w:jc w:val="both"/>
        <w:rPr>
          <w:rFonts w:ascii="Times New Roman" w:hAnsi="Times New Roman" w:cs="Times New Roman"/>
        </w:rPr>
      </w:pPr>
      <w:r>
        <w:t>Ultra deep pyrosequencing is</w:t>
      </w:r>
      <w:r w:rsidR="002E4833">
        <w:t>,</w:t>
      </w:r>
      <w:r>
        <w:t xml:space="preserve"> </w:t>
      </w:r>
      <w:r w:rsidR="002E4833">
        <w:t xml:space="preserve">at least, </w:t>
      </w:r>
      <w:r>
        <w:t>comparable to conventional population based Sanger method at HIV drug resistance genotyping</w:t>
      </w:r>
    </w:p>
    <w:p w:rsidR="00B054D3" w:rsidRPr="00B054D3" w:rsidRDefault="00B054D3" w:rsidP="00B054D3">
      <w:pPr>
        <w:pStyle w:val="ListParagraph"/>
        <w:numPr>
          <w:ilvl w:val="0"/>
          <w:numId w:val="14"/>
        </w:numPr>
        <w:spacing w:line="480" w:lineRule="auto"/>
        <w:jc w:val="both"/>
        <w:rPr>
          <w:rFonts w:ascii="Times New Roman" w:hAnsi="Times New Roman" w:cs="Times New Roman"/>
        </w:rPr>
      </w:pPr>
      <w:r>
        <w:t>Resistance to nevirapine is significantly more likely to develop in the drug-exposed individuals than in the drug naïve individuals.</w:t>
      </w:r>
    </w:p>
    <w:p w:rsidR="00AC7176" w:rsidRPr="00B054D3" w:rsidRDefault="00B054D3" w:rsidP="00A6000F">
      <w:pPr>
        <w:pStyle w:val="ListParagraph"/>
        <w:numPr>
          <w:ilvl w:val="0"/>
          <w:numId w:val="14"/>
        </w:numPr>
        <w:spacing w:line="480" w:lineRule="auto"/>
        <w:jc w:val="both"/>
        <w:rPr>
          <w:rFonts w:ascii="Times New Roman" w:hAnsi="Times New Roman" w:cs="Times New Roman"/>
        </w:rPr>
      </w:pPr>
      <w:r w:rsidRPr="00B054D3">
        <w:rPr>
          <w:rFonts w:ascii="Times New Roman" w:hAnsi="Times New Roman" w:cs="Times New Roman"/>
        </w:rPr>
        <w:t>At 15% and below (both FLX and Junior), the prediction of NVP resistance significantly correlates (p &lt; 0.05) with time since NVP exposure</w:t>
      </w:r>
    </w:p>
    <w:p w:rsidR="00B054D3" w:rsidRDefault="00B054D3" w:rsidP="00A6000F">
      <w:pPr>
        <w:spacing w:line="480" w:lineRule="auto"/>
      </w:pPr>
    </w:p>
    <w:p w:rsidR="00816B04" w:rsidRDefault="00A6000F" w:rsidP="00A6000F">
      <w:pPr>
        <w:spacing w:line="480" w:lineRule="auto"/>
      </w:pPr>
      <w:r>
        <w:t>Chapter 6: This chapter summary the significance of the work, development of Seq2Res pipeline, validation of the pipeline and the application of the pipeline</w:t>
      </w:r>
    </w:p>
    <w:p w:rsidR="00AC7176" w:rsidRDefault="00AC7176"/>
    <w:sectPr w:rsidR="00AC7176" w:rsidSect="00AC717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F92161"/>
    <w:multiLevelType w:val="multilevel"/>
    <w:tmpl w:val="5F06038A"/>
    <w:lvl w:ilvl="0">
      <w:start w:val="1"/>
      <w:numFmt w:val="decimal"/>
      <w:pStyle w:val="Heading1"/>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nsid w:val="11E23B9C"/>
    <w:multiLevelType w:val="multilevel"/>
    <w:tmpl w:val="41D28AB0"/>
    <w:lvl w:ilvl="0">
      <w:start w:val="1"/>
      <w:numFmt w:val="decimal"/>
      <w:lvlText w:val="%1"/>
      <w:lvlJc w:val="left"/>
      <w:pPr>
        <w:ind w:left="63" w:hanging="432"/>
      </w:pPr>
      <w:rPr>
        <w:rFonts w:hint="default"/>
      </w:rPr>
    </w:lvl>
    <w:lvl w:ilvl="1">
      <w:start w:val="1"/>
      <w:numFmt w:val="decimal"/>
      <w:lvlText w:val="4.%2"/>
      <w:lvlJc w:val="left"/>
      <w:pPr>
        <w:ind w:left="207" w:hanging="207"/>
      </w:pPr>
      <w:rPr>
        <w:rFonts w:hint="default"/>
      </w:rPr>
    </w:lvl>
    <w:lvl w:ilvl="2">
      <w:start w:val="1"/>
      <w:numFmt w:val="decimal"/>
      <w:lvlText w:val="4.%2.%3"/>
      <w:lvlJc w:val="left"/>
      <w:pPr>
        <w:ind w:left="720" w:hanging="720"/>
      </w:pPr>
      <w:rPr>
        <w:rFonts w:hint="default"/>
      </w:rPr>
    </w:lvl>
    <w:lvl w:ilvl="3">
      <w:start w:val="1"/>
      <w:numFmt w:val="decimal"/>
      <w:pStyle w:val="Style4111"/>
      <w:lvlText w:val="4.%2.%3.%4"/>
      <w:lvlJc w:val="left"/>
      <w:pPr>
        <w:ind w:left="0" w:firstLine="0"/>
      </w:pPr>
      <w:rPr>
        <w:rFonts w:hint="default"/>
      </w:rPr>
    </w:lvl>
    <w:lvl w:ilvl="4">
      <w:start w:val="1"/>
      <w:numFmt w:val="decimal"/>
      <w:pStyle w:val="Heading5"/>
      <w:lvlText w:val="%1.%2.%3.%4.%5"/>
      <w:lvlJc w:val="left"/>
      <w:pPr>
        <w:ind w:left="639" w:hanging="1008"/>
      </w:pPr>
      <w:rPr>
        <w:rFonts w:hint="default"/>
      </w:rPr>
    </w:lvl>
    <w:lvl w:ilvl="5">
      <w:start w:val="1"/>
      <w:numFmt w:val="decimal"/>
      <w:pStyle w:val="Heading6"/>
      <w:lvlText w:val="%1.%2.%3.%4.%5.%6"/>
      <w:lvlJc w:val="left"/>
      <w:pPr>
        <w:ind w:left="783" w:hanging="1152"/>
      </w:pPr>
      <w:rPr>
        <w:rFonts w:hint="default"/>
      </w:rPr>
    </w:lvl>
    <w:lvl w:ilvl="6">
      <w:start w:val="1"/>
      <w:numFmt w:val="decimal"/>
      <w:pStyle w:val="Heading7"/>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2">
    <w:nsid w:val="28AB5709"/>
    <w:multiLevelType w:val="multilevel"/>
    <w:tmpl w:val="C0A4EC86"/>
    <w:lvl w:ilvl="0">
      <w:start w:val="1"/>
      <w:numFmt w:val="decimal"/>
      <w:lvlText w:val="%1."/>
      <w:lvlJc w:val="left"/>
      <w:pPr>
        <w:ind w:left="360" w:hanging="360"/>
      </w:pPr>
      <w:rPr>
        <w:rFonts w:hint="default"/>
      </w:rPr>
    </w:lvl>
    <w:lvl w:ilvl="1">
      <w:start w:val="1"/>
      <w:numFmt w:val="decimal"/>
      <w:pStyle w:val="Style11"/>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9E104F2"/>
    <w:multiLevelType w:val="multilevel"/>
    <w:tmpl w:val="23C8056E"/>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none"/>
      <w:pStyle w:val="Heading3"/>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nsid w:val="5B330643"/>
    <w:multiLevelType w:val="hybridMultilevel"/>
    <w:tmpl w:val="E9481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358FD"/>
    <w:multiLevelType w:val="multilevel"/>
    <w:tmpl w:val="C6986AD0"/>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nsid w:val="79CC61B2"/>
    <w:multiLevelType w:val="multilevel"/>
    <w:tmpl w:val="11B227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0"/>
  </w:num>
  <w:num w:numId="10">
    <w:abstractNumId w:val="5"/>
  </w:num>
  <w:num w:numId="11">
    <w:abstractNumId w:val="3"/>
  </w:num>
  <w:num w:numId="12">
    <w:abstractNumId w:val="1"/>
  </w:num>
  <w:num w:numId="13">
    <w:abstractNumId w:val="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ibraries" w:val="&lt;ENLibraries&gt;&lt;Libraries&gt;&lt;item&gt;Phd_Thesis_reference.enl&lt;/item&gt;&lt;/Libraries&gt;&lt;/ENLibraries&gt;"/>
  </w:docVars>
  <w:rsids>
    <w:rsidRoot w:val="00AC7176"/>
    <w:rsid w:val="00055F8F"/>
    <w:rsid w:val="0023321A"/>
    <w:rsid w:val="002E4833"/>
    <w:rsid w:val="004A5BEB"/>
    <w:rsid w:val="00513FA7"/>
    <w:rsid w:val="005155B1"/>
    <w:rsid w:val="006537B4"/>
    <w:rsid w:val="00712B5A"/>
    <w:rsid w:val="00815033"/>
    <w:rsid w:val="00816B04"/>
    <w:rsid w:val="008A0B14"/>
    <w:rsid w:val="009841A5"/>
    <w:rsid w:val="00A6000F"/>
    <w:rsid w:val="00AC7176"/>
    <w:rsid w:val="00B054D3"/>
    <w:rsid w:val="00B43506"/>
    <w:rsid w:val="00CE104A"/>
    <w:rsid w:val="00D73C71"/>
  </w:rsids>
  <m:mathPr>
    <m:mathFont m:val="04b0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176"/>
    <w:rPr>
      <w:rFonts w:eastAsiaTheme="minorEastAsia"/>
      <w:lang w:eastAsia="ja-JP"/>
    </w:rPr>
  </w:style>
  <w:style w:type="paragraph" w:styleId="Heading1">
    <w:name w:val="heading 1"/>
    <w:basedOn w:val="Normal"/>
    <w:link w:val="Heading1Char"/>
    <w:autoRedefine/>
    <w:uiPriority w:val="9"/>
    <w:rsid w:val="00FF096E"/>
    <w:pPr>
      <w:numPr>
        <w:numId w:val="9"/>
      </w:numPr>
      <w:spacing w:beforeLines="1" w:afterLines="1"/>
      <w:jc w:val="both"/>
      <w:outlineLvl w:val="0"/>
    </w:pPr>
    <w:rPr>
      <w:rFonts w:ascii="Times" w:hAnsi="Times"/>
      <w:b/>
      <w:kern w:val="36"/>
      <w:sz w:val="44"/>
      <w:szCs w:val="20"/>
    </w:rPr>
  </w:style>
  <w:style w:type="paragraph" w:styleId="Heading2">
    <w:name w:val="heading 2"/>
    <w:basedOn w:val="Normal"/>
    <w:next w:val="Normal"/>
    <w:link w:val="Heading2Char"/>
    <w:autoRedefine/>
    <w:rsid w:val="00FF096E"/>
    <w:pPr>
      <w:keepNext/>
      <w:keepLines/>
      <w:numPr>
        <w:ilvl w:val="1"/>
        <w:numId w:val="11"/>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FF096E"/>
    <w:pPr>
      <w:keepNext/>
      <w:keepLines/>
      <w:numPr>
        <w:ilvl w:val="2"/>
        <w:numId w:val="11"/>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autoRedefine/>
    <w:rsid w:val="00FF096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rsid w:val="00FF096E"/>
    <w:pPr>
      <w:keepNext/>
      <w:keepLines/>
      <w:numPr>
        <w:ilvl w:val="4"/>
        <w:numId w:val="12"/>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autoRedefine/>
    <w:rsid w:val="00FF096E"/>
    <w:pPr>
      <w:keepNext/>
      <w:keepLines/>
      <w:numPr>
        <w:ilvl w:val="5"/>
        <w:numId w:val="1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rsid w:val="00FF096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FF096E"/>
    <w:rPr>
      <w:rFonts w:asciiTheme="majorHAnsi" w:eastAsiaTheme="majorEastAsia" w:hAnsiTheme="majorHAnsi" w:cstheme="majorBidi"/>
      <w:b/>
      <w:bCs/>
      <w:color w:val="4F81BD" w:themeColor="accent1"/>
      <w:sz w:val="40"/>
      <w:szCs w:val="26"/>
    </w:rPr>
  </w:style>
  <w:style w:type="paragraph" w:customStyle="1" w:styleId="chaptertitle">
    <w:name w:val="chapter_title"/>
    <w:basedOn w:val="Normal"/>
    <w:next w:val="Normal"/>
    <w:qFormat/>
    <w:rsid w:val="00FF096E"/>
    <w:pPr>
      <w:jc w:val="center"/>
    </w:pPr>
    <w:rPr>
      <w:rFonts w:ascii="Times New Roman" w:hAnsi="Times New Roman"/>
      <w:b/>
      <w:sz w:val="48"/>
    </w:rPr>
  </w:style>
  <w:style w:type="character" w:customStyle="1" w:styleId="Heading1Char">
    <w:name w:val="Heading 1 Char"/>
    <w:basedOn w:val="DefaultParagraphFont"/>
    <w:link w:val="Heading1"/>
    <w:uiPriority w:val="9"/>
    <w:rsid w:val="00FF096E"/>
    <w:rPr>
      <w:rFonts w:ascii="Times" w:hAnsi="Times"/>
      <w:b/>
      <w:kern w:val="36"/>
      <w:sz w:val="44"/>
      <w:szCs w:val="20"/>
    </w:rPr>
  </w:style>
  <w:style w:type="character" w:customStyle="1" w:styleId="Heading3Char">
    <w:name w:val="Heading 3 Char"/>
    <w:basedOn w:val="DefaultParagraphFont"/>
    <w:link w:val="Heading3"/>
    <w:rsid w:val="00FF096E"/>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rsid w:val="00FF0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F096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FF096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F096E"/>
    <w:rPr>
      <w:rFonts w:asciiTheme="majorHAnsi" w:eastAsiaTheme="majorEastAsia" w:hAnsiTheme="majorHAnsi" w:cstheme="majorBidi"/>
      <w:i/>
      <w:iCs/>
      <w:color w:val="404040" w:themeColor="text1" w:themeTint="BF"/>
    </w:rPr>
  </w:style>
  <w:style w:type="paragraph" w:customStyle="1" w:styleId="Style4111">
    <w:name w:val="Style4.1.1.1"/>
    <w:basedOn w:val="Heading4"/>
    <w:qFormat/>
    <w:rsid w:val="000D3BC8"/>
    <w:pPr>
      <w:numPr>
        <w:numId w:val="12"/>
      </w:numPr>
      <w:jc w:val="both"/>
    </w:pPr>
    <w:rPr>
      <w:rFonts w:ascii="Times New Roman" w:hAnsi="Times New Roman"/>
      <w:b w:val="0"/>
      <w:i w:val="0"/>
      <w:sz w:val="28"/>
    </w:rPr>
  </w:style>
  <w:style w:type="paragraph" w:customStyle="1" w:styleId="Style11">
    <w:name w:val="Style1.1"/>
    <w:basedOn w:val="Heading2"/>
    <w:qFormat/>
    <w:rsid w:val="00AC7176"/>
    <w:pPr>
      <w:numPr>
        <w:numId w:val="13"/>
      </w:numPr>
      <w:spacing w:before="200"/>
    </w:pPr>
    <w:rPr>
      <w:rFonts w:ascii="Times New Roman" w:hAnsi="Times New Roman"/>
      <w:b w:val="0"/>
      <w:sz w:val="36"/>
    </w:rPr>
  </w:style>
  <w:style w:type="paragraph" w:styleId="ListParagraph">
    <w:name w:val="List Paragraph"/>
    <w:basedOn w:val="Normal"/>
    <w:uiPriority w:val="34"/>
    <w:qFormat/>
    <w:rsid w:val="00B054D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488</Words>
  <Characters>2785</Characters>
  <Application>Microsoft Macintosh Word</Application>
  <DocSecurity>0</DocSecurity>
  <Lines>23</Lines>
  <Paragraphs>5</Paragraphs>
  <ScaleCrop>false</ScaleCrop>
  <Company>SANBI</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6</cp:revision>
  <dcterms:created xsi:type="dcterms:W3CDTF">2014-05-05T07:29:00Z</dcterms:created>
  <dcterms:modified xsi:type="dcterms:W3CDTF">2014-05-05T13:00:00Z</dcterms:modified>
</cp:coreProperties>
</file>