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26"/>
          <w:szCs w:val="26"/>
        </w:rPr>
        <w:t xml:space="preserve">Spectral alignment: what the whole-corpus view showed</w:t>
      </w:r>
    </w:p>
    <w:p>
      <w:pPr>
        <w:spacing w:after="160"/>
      </w:pPr>
      <w:r>
        <w:rPr>
          <w:rFonts w:ascii="Calibri" w:cs="Calibri" w:eastAsia="Calibri" w:hAnsi="Calibri"/>
          <w:i/>
          <w:iCs/>
          <w:color w:val="595959"/>
          <w:sz w:val="17"/>
          <w:szCs w:val="17"/>
        </w:rPr>
        <w:t xml:space="preserve">Checking all 9,623 pre-training spectra and the five evaluation cohorts — 15 September 2026</w:t>
      </w:r>
    </w:p>
    <w:p>
      <w:pPr>
        <w:spacing w:after="80" w:before="160"/>
      </w:pPr>
      <w:r>
        <w:rPr>
          <w:rFonts w:ascii="Calibri" w:cs="Calibri" w:eastAsia="Calibri" w:hAnsi="Calibri"/>
          <w:b/>
          <w:bCs/>
          <w:color w:val="1F3864"/>
          <w:sz w:val="21"/>
          <w:szCs w:val="21"/>
        </w:rPr>
        <w:t xml:space="preserve">Your suggestion, implemented</w:t>
      </w:r>
    </w:p>
    <w:p>
      <w:pPr>
        <w:spacing w:after="100"/>
      </w:pPr>
      <w:r>
        <w:rPr>
          <w:rFonts w:ascii="Calibri" w:cs="Calibri" w:eastAsia="Calibri" w:hAnsi="Calibri"/>
          <w:sz w:val="19"/>
          <w:szCs w:val="19"/>
        </w:rPr>
        <w:t xml:space="preserve">You asked that we look at all 9,000+ spectra by eye rather than trust summary statistics. We did, but as a single image instead of a scroll: </w:t>
      </w:r>
      <w:r>
        <w:rPr>
          <w:rFonts w:ascii="Calibri" w:cs="Calibri" w:eastAsia="Calibri" w:hAnsi="Calibri"/>
          <w:b/>
          <w:bCs/>
          <w:sz w:val="19"/>
          <w:szCs w:val="19"/>
        </w:rPr>
        <w:t xml:space="preserve">each spectrum is one pixel row</w:t>
      </w:r>
      <w:r>
        <w:rPr>
          <w:rFonts w:ascii="Calibri" w:cs="Calibri" w:eastAsia="Calibri" w:hAnsi="Calibri"/>
          <w:sz w:val="19"/>
          <w:szCs w:val="19"/>
        </w:rPr>
        <w:t xml:space="preserve">, so the whole corpus and all five cohorts fit on one page (Figure 1, attached). A vertical stripe is a metabolite peak; where a stripe steps sideways, those spectra are misaligned. This is both feasible at 9,623 spectra and more sensitive than scrolling, because a 30-point shift is invisible in a single trace but obvious as a step across thousands of stacked rows.</w:t>
      </w:r>
    </w:p>
    <w:p>
      <w:pPr>
        <w:spacing w:after="80" w:before="160"/>
      </w:pPr>
      <w:r>
        <w:rPr>
          <w:rFonts w:ascii="Calibri" w:cs="Calibri" w:eastAsia="Calibri" w:hAnsi="Calibri"/>
          <w:b/>
          <w:bCs/>
          <w:color w:val="1F3864"/>
          <w:sz w:val="21"/>
          <w:szCs w:val="21"/>
        </w:rPr>
        <w:t xml:space="preserve">Finding 1 — the corpus was aligned by data point, not by chemical shift</w:t>
      </w:r>
    </w:p>
    <w:p>
      <w:pPr>
        <w:spacing w:after="100"/>
      </w:pPr>
      <w:r>
        <w:rPr>
          <w:rFonts w:ascii="Calibri" w:cs="Calibri" w:eastAsia="Calibri" w:hAnsi="Calibri"/>
          <w:sz w:val="19"/>
          <w:szCs w:val="19"/>
        </w:rPr>
        <w:t xml:space="preserve">The left panel shows a clear horizontal break part-way down the corpus. The spectra had been put on a common </w:t>
      </w:r>
      <w:r>
        <w:rPr>
          <w:rFonts w:ascii="Calibri" w:cs="Calibri" w:eastAsia="Calibri" w:hAnsi="Calibri"/>
          <w:b/>
          <w:bCs/>
          <w:sz w:val="19"/>
          <w:szCs w:val="19"/>
        </w:rPr>
        <w:t xml:space="preserve">point count</w:t>
      </w:r>
      <w:r>
        <w:rPr>
          <w:rFonts w:ascii="Calibri" w:cs="Calibri" w:eastAsia="Calibri" w:hAnsi="Calibri"/>
          <w:sz w:val="19"/>
          <w:szCs w:val="19"/>
        </w:rPr>
        <w:t xml:space="preserve"> rather than a common ppm axis, so studies acquired with different parameters were silently offset against each other. Anchoring every spectrum on its near-0 ppm feature fixed it: the interquartile range of displacement fell from </w:t>
      </w:r>
      <w:r>
        <w:rPr>
          <w:rFonts w:ascii="Calibri" w:cs="Calibri" w:eastAsia="Calibri" w:hAnsi="Calibri"/>
          <w:b/>
          <w:bCs/>
          <w:sz w:val="19"/>
          <w:szCs w:val="19"/>
        </w:rPr>
        <w:t xml:space="preserve">768 points to 35</w:t>
      </w:r>
      <w:r>
        <w:rPr>
          <w:rFonts w:ascii="Calibri" w:cs="Calibri" w:eastAsia="Calibri" w:hAnsi="Calibri"/>
          <w:sz w:val="19"/>
          <w:szCs w:val="19"/>
        </w:rPr>
        <w:t xml:space="preserve"> — about one linewidth. The right panel is the result.</w:t>
      </w:r>
    </w:p>
    <w:p>
      <w:pPr>
        <w:spacing w:after="80" w:before="160"/>
      </w:pPr>
      <w:r>
        <w:rPr>
          <w:rFonts w:ascii="Calibri" w:cs="Calibri" w:eastAsia="Calibri" w:hAnsi="Calibri"/>
          <w:b/>
          <w:bCs/>
          <w:color w:val="1F3864"/>
          <w:sz w:val="21"/>
          <w:szCs w:val="21"/>
        </w:rPr>
        <w:t xml:space="preserve">Finding 2 — the cohorts were not misaligned; they were on different axes</w:t>
      </w:r>
    </w:p>
    <w:p>
      <w:pPr>
        <w:spacing w:after="120"/>
      </w:pPr>
      <w:r>
        <w:rPr>
          <w:rFonts w:ascii="Calibri" w:cs="Calibri" w:eastAsia="Calibri" w:hAnsi="Calibri"/>
          <w:sz w:val="19"/>
          <w:szCs w:val="19"/>
        </w:rPr>
        <w:t xml:space="preserve">Shifting the cohorts onto the corpus never worked, and the reason was not the size of the shift. Their acquisition metadata, which we obtained this week, shows different </w:t>
      </w:r>
      <w:r>
        <w:rPr>
          <w:rFonts w:ascii="Calibri" w:cs="Calibri" w:eastAsia="Calibri" w:hAnsi="Calibri"/>
          <w:b/>
          <w:bCs/>
          <w:sz w:val="19"/>
          <w:szCs w:val="19"/>
        </w:rPr>
        <w:t xml:space="preserve">spectral widths</w:t>
      </w:r>
      <w:r>
        <w:rPr>
          <w:rFonts w:ascii="Calibri" w:cs="Calibri" w:eastAsia="Calibri" w:hAnsi="Calibri"/>
          <w:sz w:val="19"/>
          <w:szCs w:val="19"/>
        </w:rPr>
        <w:t xml:space="preserve">. A peak then occupies a different number of data points, and no shift can correct that — the spectra must be resampled.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2100"/>
        <w:gridCol w:w="2100"/>
      </w:tblGrid>
      <w:tr>
        <w:tc>
          <w:tcPr>
            <w:tcW w:type="dxa" w:w="2100"/>
            <w:shd w:fill="D9E2F3" w:val="clear"/>
          </w:tcPr>
          <w:p>
            <w:pPr>
              <w:spacing w:after="40" w:before="40"/>
            </w:pPr>
            <w:r>
              <w:rPr>
                <w:rFonts w:ascii="Calibri" w:cs="Calibri" w:eastAsia="Calibri" w:hAnsi="Calibri"/>
                <w:b/>
                <w:bCs/>
                <w:sz w:val="17"/>
                <w:szCs w:val="17"/>
              </w:rPr>
              <w:t xml:space="preserve">Dataset</w:t>
            </w:r>
          </w:p>
        </w:tc>
        <w:tc>
          <w:tcPr>
            <w:tcW w:type="dxa" w:w="1500"/>
            <w:shd w:fill="D9E2F3" w:val="clear"/>
          </w:tcPr>
          <w:p>
            <w:pPr>
              <w:spacing w:after="40" w:before="40"/>
              <w:jc w:val="center"/>
            </w:pPr>
            <w:r>
              <w:rPr>
                <w:rFonts w:ascii="Calibri" w:cs="Calibri" w:eastAsia="Calibri" w:hAnsi="Calibri"/>
                <w:b/>
                <w:bCs/>
                <w:sz w:val="17"/>
                <w:szCs w:val="17"/>
              </w:rPr>
              <w:t xml:space="preserve">Spec. width</w:t>
            </w:r>
          </w:p>
        </w:tc>
        <w:tc>
          <w:tcPr>
            <w:tcW w:type="dxa" w:w="1500"/>
            <w:shd w:fill="D9E2F3" w:val="clear"/>
          </w:tcPr>
          <w:p>
            <w:pPr>
              <w:spacing w:after="40" w:before="40"/>
              <w:jc w:val="center"/>
            </w:pPr>
            <w:r>
              <w:rPr>
                <w:rFonts w:ascii="Calibri" w:cs="Calibri" w:eastAsia="Calibri" w:hAnsi="Calibri"/>
                <w:b/>
                <w:bCs/>
                <w:sz w:val="17"/>
                <w:szCs w:val="17"/>
              </w:rPr>
              <w:t xml:space="preserve">Field</w:t>
            </w:r>
          </w:p>
        </w:tc>
        <w:tc>
          <w:tcPr>
            <w:tcW w:type="dxa" w:w="2100"/>
            <w:shd w:fill="D9E2F3" w:val="clear"/>
          </w:tcPr>
          <w:p>
            <w:pPr>
              <w:spacing w:after="40" w:before="40"/>
              <w:jc w:val="center"/>
            </w:pPr>
            <w:r>
              <w:rPr>
                <w:rFonts w:ascii="Calibri" w:cs="Calibri" w:eastAsia="Calibri" w:hAnsi="Calibri"/>
                <w:b/>
                <w:bCs/>
                <w:sz w:val="17"/>
                <w:szCs w:val="17"/>
              </w:rPr>
              <w:t xml:space="preserve">Correction applied</w:t>
            </w:r>
          </w:p>
        </w:tc>
        <w:tc>
          <w:tcPr>
            <w:tcW w:type="dxa" w:w="2100"/>
            <w:shd w:fill="D9E2F3" w:val="clear"/>
          </w:tcPr>
          <w:p>
            <w:pPr>
              <w:spacing w:after="40" w:before="40"/>
              <w:jc w:val="center"/>
            </w:pPr>
            <w:r>
              <w:rPr>
                <w:rFonts w:ascii="Calibri" w:cs="Calibri" w:eastAsia="Calibri" w:hAnsi="Calibri"/>
                <w:b/>
                <w:bCs/>
                <w:sz w:val="17"/>
                <w:szCs w:val="17"/>
              </w:rPr>
              <w:t xml:space="preserve">Agreement with corpus</w:t>
            </w:r>
          </w:p>
        </w:tc>
      </w:tr>
      <w:tr>
        <w:tc>
          <w:tcPr>
            <w:tcW w:type="dxa" w:w="2100"/>
          </w:tcPr>
          <w:p>
            <w:pPr>
              <w:spacing w:after="40" w:before="40"/>
            </w:pPr>
            <w:r>
              <w:rPr>
                <w:rFonts w:ascii="Calibri" w:cs="Calibri" w:eastAsia="Calibri" w:hAnsi="Calibri"/>
                <w:sz w:val="17"/>
                <w:szCs w:val="17"/>
              </w:rPr>
              <w:t xml:space="preserve">Pre-training corpus</w:t>
            </w:r>
          </w:p>
        </w:tc>
        <w:tc>
          <w:tcPr>
            <w:tcW w:type="dxa" w:w="1500"/>
          </w:tcPr>
          <w:p>
            <w:pPr>
              <w:spacing w:after="40" w:before="40"/>
              <w:jc w:val="center"/>
            </w:pPr>
            <w:r>
              <w:rPr>
                <w:rFonts w:ascii="Calibri" w:cs="Calibri" w:eastAsia="Calibri" w:hAnsi="Calibri"/>
                <w:sz w:val="17"/>
                <w:szCs w:val="17"/>
              </w:rPr>
              <w:t xml:space="preserve">20.024 ppm</w:t>
            </w:r>
          </w:p>
        </w:tc>
        <w:tc>
          <w:tcPr>
            <w:tcW w:type="dxa" w:w="1500"/>
          </w:tcPr>
          <w:p>
            <w:pPr>
              <w:spacing w:after="40" w:before="40"/>
              <w:jc w:val="center"/>
            </w:pPr>
            <w:r>
              <w:rPr>
                <w:rFonts w:ascii="Calibri" w:cs="Calibri" w:eastAsia="Calibri" w:hAnsi="Calibri"/>
                <w:sz w:val="17"/>
                <w:szCs w:val="17"/>
              </w:rPr>
              <w:t xml:space="preserve">600 MHz</w:t>
            </w:r>
          </w:p>
        </w:tc>
        <w:tc>
          <w:tcPr>
            <w:tcW w:type="dxa" w:w="2100"/>
          </w:tcPr>
          <w:p>
            <w:pPr>
              <w:spacing w:after="40" w:before="40"/>
              <w:jc w:val="center"/>
            </w:pPr>
            <w:r>
              <w:rPr>
                <w:rFonts w:ascii="Calibri" w:cs="Calibri" w:eastAsia="Calibri" w:hAnsi="Calibri"/>
                <w:sz w:val="17"/>
                <w:szCs w:val="17"/>
              </w:rPr>
              <w:t xml:space="preserve">0 ppm re-referencing</w:t>
            </w:r>
          </w:p>
        </w:tc>
        <w:tc>
          <w:tcPr>
            <w:tcW w:type="dxa" w:w="2100"/>
          </w:tcPr>
          <w:p>
            <w:pPr>
              <w:spacing w:after="40" w:before="40"/>
              <w:jc w:val="center"/>
            </w:pPr>
            <w:r>
              <w:rPr>
                <w:rFonts w:ascii="Calibri" w:cs="Calibri" w:eastAsia="Calibri" w:hAnsi="Calibri"/>
                <w:sz w:val="17"/>
                <w:szCs w:val="17"/>
              </w:rPr>
              <w:t xml:space="preserve">— (reference)</w:t>
            </w:r>
          </w:p>
        </w:tc>
      </w:tr>
      <w:tr>
        <w:tc>
          <w:tcPr>
            <w:tcW w:type="dxa" w:w="2100"/>
            <w:shd w:fill="F2F2F2" w:val="clear"/>
          </w:tcPr>
          <w:p>
            <w:pPr>
              <w:spacing w:after="40" w:before="40"/>
            </w:pPr>
            <w:r>
              <w:rPr>
                <w:rFonts w:ascii="Calibri" w:cs="Calibri" w:eastAsia="Calibri" w:hAnsi="Calibri"/>
                <w:sz w:val="17"/>
                <w:szCs w:val="17"/>
              </w:rPr>
              <w:t xml:space="preserve">Barth</w:t>
            </w:r>
          </w:p>
        </w:tc>
        <w:tc>
          <w:tcPr>
            <w:tcW w:type="dxa" w:w="1500"/>
            <w:shd w:fill="F2F2F2" w:val="clear"/>
          </w:tcPr>
          <w:p>
            <w:pPr>
              <w:spacing w:after="40" w:before="40"/>
              <w:jc w:val="center"/>
            </w:pPr>
            <w:r>
              <w:rPr>
                <w:rFonts w:ascii="Calibri" w:cs="Calibri" w:eastAsia="Calibri" w:hAnsi="Calibri"/>
                <w:sz w:val="17"/>
                <w:szCs w:val="17"/>
              </w:rPr>
              <w:t xml:space="preserve">12.0308 ppm</w:t>
            </w:r>
          </w:p>
        </w:tc>
        <w:tc>
          <w:tcPr>
            <w:tcW w:type="dxa" w:w="1500"/>
            <w:shd w:fill="F2F2F2" w:val="clear"/>
          </w:tcPr>
          <w:p>
            <w:pPr>
              <w:spacing w:after="40" w:before="40"/>
              <w:jc w:val="center"/>
            </w:pPr>
            <w:r>
              <w:rPr>
                <w:rFonts w:ascii="Calibri" w:cs="Calibri" w:eastAsia="Calibri" w:hAnsi="Calibri"/>
                <w:sz w:val="17"/>
                <w:szCs w:val="17"/>
              </w:rPr>
              <w:t xml:space="preserve">950 MHz</w:t>
            </w:r>
          </w:p>
        </w:tc>
        <w:tc>
          <w:tcPr>
            <w:tcW w:type="dxa" w:w="2100"/>
            <w:shd w:fill="F2F2F2" w:val="clear"/>
          </w:tcPr>
          <w:p>
            <w:pPr>
              <w:spacing w:after="40" w:before="40"/>
              <w:jc w:val="center"/>
            </w:pPr>
            <w:r>
              <w:rPr>
                <w:rFonts w:ascii="Calibri" w:cs="Calibri" w:eastAsia="Calibri" w:hAnsi="Calibri"/>
                <w:sz w:val="17"/>
                <w:szCs w:val="17"/>
              </w:rPr>
              <w:t xml:space="preserve">resampled x1.664</w:t>
            </w:r>
          </w:p>
        </w:tc>
        <w:tc>
          <w:tcPr>
            <w:tcW w:type="dxa" w:w="2100"/>
            <w:shd w:fill="F2F2F2" w:val="clear"/>
          </w:tcPr>
          <w:p>
            <w:pPr>
              <w:spacing w:after="40" w:before="40"/>
              <w:jc w:val="center"/>
            </w:pPr>
            <w:r>
              <w:rPr>
                <w:rFonts w:ascii="Calibri" w:cs="Calibri" w:eastAsia="Calibri" w:hAnsi="Calibri"/>
                <w:sz w:val="17"/>
                <w:szCs w:val="17"/>
              </w:rPr>
              <w:t xml:space="preserve">-0.11  →  +0.64</w:t>
            </w:r>
          </w:p>
        </w:tc>
      </w:tr>
      <w:tr>
        <w:tc>
          <w:tcPr>
            <w:tcW w:type="dxa" w:w="2100"/>
          </w:tcPr>
          <w:p>
            <w:pPr>
              <w:spacing w:after="40" w:before="40"/>
            </w:pPr>
            <w:r>
              <w:rPr>
                <w:rFonts w:ascii="Calibri" w:cs="Calibri" w:eastAsia="Calibri" w:hAnsi="Calibri"/>
                <w:sz w:val="17"/>
                <w:szCs w:val="17"/>
              </w:rPr>
              <w:t xml:space="preserve">BrC-T2D</w:t>
            </w:r>
          </w:p>
        </w:tc>
        <w:tc>
          <w:tcPr>
            <w:tcW w:type="dxa" w:w="1500"/>
          </w:tcPr>
          <w:p>
            <w:pPr>
              <w:spacing w:after="40" w:before="40"/>
              <w:jc w:val="center"/>
            </w:pPr>
            <w:r>
              <w:rPr>
                <w:rFonts w:ascii="Calibri" w:cs="Calibri" w:eastAsia="Calibri" w:hAnsi="Calibri"/>
                <w:sz w:val="17"/>
                <w:szCs w:val="17"/>
              </w:rPr>
              <w:t xml:space="preserve">20.1587 ppm</w:t>
            </w:r>
          </w:p>
        </w:tc>
        <w:tc>
          <w:tcPr>
            <w:tcW w:type="dxa" w:w="1500"/>
          </w:tcPr>
          <w:p>
            <w:pPr>
              <w:spacing w:after="40" w:before="40"/>
              <w:jc w:val="center"/>
            </w:pPr>
            <w:r>
              <w:rPr>
                <w:rFonts w:ascii="Calibri" w:cs="Calibri" w:eastAsia="Calibri" w:hAnsi="Calibri"/>
                <w:sz w:val="17"/>
                <w:szCs w:val="17"/>
              </w:rPr>
              <w:t xml:space="preserve">800 MHz</w:t>
            </w:r>
          </w:p>
        </w:tc>
        <w:tc>
          <w:tcPr>
            <w:tcW w:type="dxa" w:w="2100"/>
          </w:tcPr>
          <w:p>
            <w:pPr>
              <w:spacing w:after="40" w:before="40"/>
              <w:jc w:val="center"/>
            </w:pPr>
            <w:r>
              <w:rPr>
                <w:rFonts w:ascii="Calibri" w:cs="Calibri" w:eastAsia="Calibri" w:hAnsi="Calibri"/>
                <w:sz w:val="17"/>
                <w:szCs w:val="17"/>
              </w:rPr>
              <w:t xml:space="preserve">resampled x0.993</w:t>
            </w:r>
          </w:p>
        </w:tc>
        <w:tc>
          <w:tcPr>
            <w:tcW w:type="dxa" w:w="2100"/>
          </w:tcPr>
          <w:p>
            <w:pPr>
              <w:spacing w:after="40" w:before="40"/>
              <w:jc w:val="center"/>
            </w:pPr>
            <w:r>
              <w:rPr>
                <w:rFonts w:ascii="Calibri" w:cs="Calibri" w:eastAsia="Calibri" w:hAnsi="Calibri"/>
                <w:sz w:val="17"/>
                <w:szCs w:val="17"/>
              </w:rPr>
              <w:t xml:space="preserve">+0.13  →  +0.26</w:t>
            </w:r>
          </w:p>
        </w:tc>
      </w:tr>
      <w:tr>
        <w:tc>
          <w:tcPr>
            <w:tcW w:type="dxa" w:w="2100"/>
            <w:shd w:fill="F2F2F2" w:val="clear"/>
          </w:tcPr>
          <w:p>
            <w:pPr>
              <w:spacing w:after="40" w:before="40"/>
            </w:pPr>
            <w:r>
              <w:rPr>
                <w:rFonts w:ascii="Calibri" w:cs="Calibri" w:eastAsia="Calibri" w:hAnsi="Calibri"/>
                <w:sz w:val="17"/>
                <w:szCs w:val="17"/>
              </w:rPr>
              <w:t xml:space="preserve">MTBLS326</w:t>
            </w:r>
          </w:p>
        </w:tc>
        <w:tc>
          <w:tcPr>
            <w:tcW w:type="dxa" w:w="1500"/>
            <w:shd w:fill="F2F2F2" w:val="clear"/>
          </w:tcPr>
          <w:p>
            <w:pPr>
              <w:spacing w:after="40" w:before="40"/>
              <w:jc w:val="center"/>
            </w:pPr>
            <w:r>
              <w:rPr>
                <w:rFonts w:ascii="Calibri" w:cs="Calibri" w:eastAsia="Calibri" w:hAnsi="Calibri"/>
                <w:sz w:val="17"/>
                <w:szCs w:val="17"/>
              </w:rPr>
              <w:t xml:space="preserve">20.02 ppm</w:t>
            </w:r>
          </w:p>
        </w:tc>
        <w:tc>
          <w:tcPr>
            <w:tcW w:type="dxa" w:w="1500"/>
            <w:shd w:fill="F2F2F2" w:val="clear"/>
          </w:tcPr>
          <w:p>
            <w:pPr>
              <w:spacing w:after="40" w:before="40"/>
              <w:jc w:val="center"/>
            </w:pPr>
            <w:r>
              <w:rPr>
                <w:rFonts w:ascii="Calibri" w:cs="Calibri" w:eastAsia="Calibri" w:hAnsi="Calibri"/>
                <w:sz w:val="17"/>
                <w:szCs w:val="17"/>
              </w:rPr>
              <w:t xml:space="preserve">800 MHz</w:t>
            </w:r>
          </w:p>
        </w:tc>
        <w:tc>
          <w:tcPr>
            <w:tcW w:type="dxa" w:w="2100"/>
            <w:shd w:fill="F2F2F2" w:val="clear"/>
          </w:tcPr>
          <w:p>
            <w:pPr>
              <w:spacing w:after="40" w:before="40"/>
              <w:jc w:val="center"/>
            </w:pPr>
            <w:r>
              <w:rPr>
                <w:rFonts w:ascii="Calibri" w:cs="Calibri" w:eastAsia="Calibri" w:hAnsi="Calibri"/>
                <w:sz w:val="17"/>
                <w:szCs w:val="17"/>
              </w:rPr>
              <w:t xml:space="preserve">none needed</w:t>
            </w:r>
          </w:p>
        </w:tc>
        <w:tc>
          <w:tcPr>
            <w:tcW w:type="dxa" w:w="2100"/>
            <w:shd w:fill="F2F2F2" w:val="clear"/>
          </w:tcPr>
          <w:p>
            <w:pPr>
              <w:spacing w:after="40" w:before="40"/>
              <w:jc w:val="center"/>
            </w:pPr>
            <w:r>
              <w:rPr>
                <w:rFonts w:ascii="Calibri" w:cs="Calibri" w:eastAsia="Calibri" w:hAnsi="Calibri"/>
                <w:sz w:val="17"/>
                <w:szCs w:val="17"/>
              </w:rPr>
              <w:t xml:space="preserve">+0.16</w:t>
            </w:r>
          </w:p>
        </w:tc>
      </w:tr>
      <w:tr>
        <w:tc>
          <w:tcPr>
            <w:tcW w:type="dxa" w:w="2100"/>
          </w:tcPr>
          <w:p>
            <w:pPr>
              <w:spacing w:after="40" w:before="40"/>
            </w:pPr>
            <w:r>
              <w:rPr>
                <w:rFonts w:ascii="Calibri" w:cs="Calibri" w:eastAsia="Calibri" w:hAnsi="Calibri"/>
                <w:sz w:val="17"/>
                <w:szCs w:val="17"/>
              </w:rPr>
              <w:t xml:space="preserve">MTBLS563</w:t>
            </w:r>
          </w:p>
        </w:tc>
        <w:tc>
          <w:tcPr>
            <w:tcW w:type="dxa" w:w="1500"/>
          </w:tcPr>
          <w:p>
            <w:pPr>
              <w:spacing w:after="40" w:before="40"/>
              <w:jc w:val="center"/>
            </w:pPr>
            <w:r>
              <w:rPr>
                <w:rFonts w:ascii="Calibri" w:cs="Calibri" w:eastAsia="Calibri" w:hAnsi="Calibri"/>
                <w:sz w:val="17"/>
                <w:szCs w:val="17"/>
              </w:rPr>
              <w:t xml:space="preserve">20.0 ppm</w:t>
            </w:r>
          </w:p>
        </w:tc>
        <w:tc>
          <w:tcPr>
            <w:tcW w:type="dxa" w:w="1500"/>
          </w:tcPr>
          <w:p>
            <w:pPr>
              <w:spacing w:after="40" w:before="40"/>
              <w:jc w:val="center"/>
            </w:pPr>
            <w:r>
              <w:rPr>
                <w:rFonts w:ascii="Calibri" w:cs="Calibri" w:eastAsia="Calibri" w:hAnsi="Calibri"/>
                <w:sz w:val="17"/>
                <w:szCs w:val="17"/>
              </w:rPr>
              <w:t xml:space="preserve">700 MHz</w:t>
            </w:r>
          </w:p>
        </w:tc>
        <w:tc>
          <w:tcPr>
            <w:tcW w:type="dxa" w:w="2100"/>
          </w:tcPr>
          <w:p>
            <w:pPr>
              <w:spacing w:after="40" w:before="40"/>
              <w:jc w:val="center"/>
            </w:pPr>
            <w:r>
              <w:rPr>
                <w:rFonts w:ascii="Calibri" w:cs="Calibri" w:eastAsia="Calibri" w:hAnsi="Calibri"/>
                <w:sz w:val="17"/>
                <w:szCs w:val="17"/>
              </w:rPr>
              <w:t xml:space="preserve">none needed</w:t>
            </w:r>
          </w:p>
        </w:tc>
        <w:tc>
          <w:tcPr>
            <w:tcW w:type="dxa" w:w="2100"/>
          </w:tcPr>
          <w:p>
            <w:pPr>
              <w:spacing w:after="40" w:before="40"/>
              <w:jc w:val="center"/>
            </w:pPr>
            <w:r>
              <w:rPr>
                <w:rFonts w:ascii="Calibri" w:cs="Calibri" w:eastAsia="Calibri" w:hAnsi="Calibri"/>
                <w:sz w:val="17"/>
                <w:szCs w:val="17"/>
              </w:rPr>
              <w:t xml:space="preserve">+0.59</w:t>
            </w:r>
          </w:p>
        </w:tc>
      </w:tr>
      <w:tr>
        <w:tc>
          <w:tcPr>
            <w:tcW w:type="dxa" w:w="2100"/>
            <w:shd w:fill="F2F2F2" w:val="clear"/>
          </w:tcPr>
          <w:p>
            <w:pPr>
              <w:spacing w:after="40" w:before="40"/>
            </w:pPr>
            <w:r>
              <w:rPr>
                <w:rFonts w:ascii="Calibri" w:cs="Calibri" w:eastAsia="Calibri" w:hAnsi="Calibri"/>
                <w:sz w:val="17"/>
                <w:szCs w:val="17"/>
              </w:rPr>
              <w:t xml:space="preserve">TBI</w:t>
            </w:r>
          </w:p>
        </w:tc>
        <w:tc>
          <w:tcPr>
            <w:tcW w:type="dxa" w:w="1500"/>
            <w:shd w:fill="F2F2F2" w:val="clear"/>
          </w:tcPr>
          <w:p>
            <w:pPr>
              <w:spacing w:after="40" w:before="40"/>
              <w:jc w:val="center"/>
            </w:pPr>
            <w:r>
              <w:rPr>
                <w:rFonts w:ascii="Calibri" w:cs="Calibri" w:eastAsia="Calibri" w:hAnsi="Calibri"/>
                <w:sz w:val="17"/>
                <w:szCs w:val="17"/>
              </w:rPr>
              <w:t xml:space="preserve">unknown</w:t>
            </w:r>
          </w:p>
        </w:tc>
        <w:tc>
          <w:tcPr>
            <w:tcW w:type="dxa" w:w="1500"/>
            <w:shd w:fill="F2F2F2" w:val="clear"/>
          </w:tcPr>
          <w:p>
            <w:pPr>
              <w:spacing w:after="40" w:before="40"/>
              <w:jc w:val="center"/>
            </w:pPr>
            <w:r>
              <w:rPr>
                <w:rFonts w:ascii="Calibri" w:cs="Calibri" w:eastAsia="Calibri" w:hAnsi="Calibri"/>
                <w:sz w:val="17"/>
                <w:szCs w:val="17"/>
              </w:rPr>
              <w:t xml:space="preserve">unknown</w:t>
            </w:r>
          </w:p>
        </w:tc>
        <w:tc>
          <w:tcPr>
            <w:tcW w:type="dxa" w:w="2100"/>
            <w:shd w:fill="F2F2F2" w:val="clear"/>
          </w:tcPr>
          <w:p>
            <w:pPr>
              <w:spacing w:after="40" w:before="40"/>
              <w:jc w:val="center"/>
            </w:pPr>
            <w:r>
              <w:rPr>
                <w:rFonts w:ascii="Calibri" w:cs="Calibri" w:eastAsia="Calibri" w:hAnsi="Calibri"/>
                <w:sz w:val="17"/>
                <w:szCs w:val="17"/>
              </w:rPr>
              <w:t xml:space="preserve">none — excluded</w:t>
            </w:r>
          </w:p>
        </w:tc>
        <w:tc>
          <w:tcPr>
            <w:tcW w:type="dxa" w:w="2100"/>
            <w:shd w:fill="F2F2F2" w:val="clear"/>
          </w:tcPr>
          <w:p>
            <w:pPr>
              <w:spacing w:after="40" w:before="40"/>
              <w:jc w:val="center"/>
            </w:pPr>
            <w:r>
              <w:rPr>
                <w:rFonts w:ascii="Calibri" w:cs="Calibri" w:eastAsia="Calibri" w:hAnsi="Calibri"/>
                <w:sz w:val="17"/>
                <w:szCs w:val="17"/>
              </w:rPr>
              <w:t xml:space="preserve">n/a</w:t>
            </w:r>
          </w:p>
        </w:tc>
      </w:tr>
    </w:tbl>
    <w:p>
      <w:pPr>
        <w:spacing w:after="120"/>
      </w:pPr>
      <w:r>
        <w:rPr>
          <w:rFonts w:ascii="Calibri" w:cs="Calibri" w:eastAsia="Calibri" w:hAnsi="Calibri"/>
          <w:i/>
          <w:iCs/>
          <w:sz w:val="17"/>
          <w:szCs w:val="17"/>
        </w:rPr>
        <w:t xml:space="preserve">Barth was the extreme case: at 950 MHz over a 12 ppm sweep, its peaks are spread 1.66x wider in data points than the corpus's. Resampling turned the worst-agreeing cohort into one of the best.</w:t>
      </w:r>
    </w:p>
    <w:p>
      <w:pPr>
        <w:spacing w:after="80" w:before="160"/>
      </w:pPr>
      <w:r>
        <w:rPr>
          <w:rFonts w:ascii="Calibri" w:cs="Calibri" w:eastAsia="Calibri" w:hAnsi="Calibri"/>
          <w:b/>
          <w:bCs/>
          <w:color w:val="1F3864"/>
          <w:sz w:val="21"/>
          <w:szCs w:val="21"/>
        </w:rPr>
        <w:t xml:space="preserve">What this changes, and what is still open</w:t>
      </w:r>
    </w:p>
    <w:p>
      <w:pPr>
        <w:spacing w:after="100"/>
      </w:pPr>
      <w:r>
        <w:rPr>
          <w:rFonts w:ascii="Calibri" w:cs="Calibri" w:eastAsia="Calibri" w:hAnsi="Calibri"/>
          <w:sz w:val="19"/>
          <w:szCs w:val="19"/>
        </w:rPr>
        <w:t xml:space="preserve">The corpus is now internally consistent, and four of five cohorts sit on its axis. This removes a confound that would have depressed every transfer result, so the planned experiments should be re-run on the corrected data. </w:t>
      </w:r>
      <w:r>
        <w:rPr>
          <w:rFonts w:ascii="Calibri" w:cs="Calibri" w:eastAsia="Calibri" w:hAnsi="Calibri"/>
          <w:b/>
          <w:bCs/>
          <w:sz w:val="19"/>
          <w:szCs w:val="19"/>
        </w:rPr>
        <w:t xml:space="preserve">Still unresolved: the absolute chemical shift axis.</w:t>
      </w:r>
      <w:r>
        <w:rPr>
          <w:rFonts w:ascii="Calibri" w:cs="Calibri" w:eastAsia="Calibri" w:hAnsi="Calibri"/>
          <w:sz w:val="19"/>
          <w:szCs w:val="19"/>
        </w:rPr>
        <w:t xml:space="preserve"> The corpus carries no true reference standard — the feature near 0 ppm is a broad hump, not TSP — so each dataset is internally consistent but their absolute ppm values are not established. This does not affect comparisons within a dataset; it does block quantitative matching against an external reference library.</w:t>
      </w:r>
    </w:p>
    <w:p>
      <w:pPr>
        <w:spacing w:after="80" w:before="160"/>
      </w:pPr>
      <w:r>
        <w:rPr>
          <w:rFonts w:ascii="Calibri" w:cs="Calibri" w:eastAsia="Calibri" w:hAnsi="Calibri"/>
          <w:b/>
          <w:bCs/>
          <w:color w:val="1F3864"/>
          <w:sz w:val="21"/>
          <w:szCs w:val="21"/>
        </w:rPr>
        <w:t xml:space="preserve">One methodological point worth flagging</w:t>
      </w:r>
    </w:p>
    <w:p>
      <w:pPr>
        <w:spacing w:after="60"/>
      </w:pPr>
      <w:r>
        <w:rPr>
          <w:rFonts w:ascii="Calibri" w:cs="Calibri" w:eastAsia="Calibri" w:hAnsi="Calibri"/>
          <w:sz w:val="19"/>
          <w:szCs w:val="19"/>
        </w:rPr>
        <w:t xml:space="preserve">Before the metadata arrived we tried four independent ways to recover the correct axis from the spectra alone. </w:t>
      </w:r>
      <w:r>
        <w:rPr>
          <w:rFonts w:ascii="Calibri" w:cs="Calibri" w:eastAsia="Calibri" w:hAnsi="Calibri"/>
          <w:b/>
          <w:bCs/>
          <w:sz w:val="19"/>
          <w:szCs w:val="19"/>
        </w:rPr>
        <w:t xml:space="preserve">All four gave confident answers, and all four were wrong</w:t>
      </w:r>
      <w:r>
        <w:rPr>
          <w:rFonts w:ascii="Calibri" w:cs="Calibri" w:eastAsia="Calibri" w:hAnsi="Calibri"/>
          <w:sz w:val="19"/>
          <w:szCs w:val="19"/>
        </w:rPr>
        <w:t xml:space="preserve"> when checked against a case whose answer we later knew — one estimated Barth's scale factor as 0.98 where the truth is 0.60. The dense metabolite region makes a wrong alignment fit almost as well as the right one. The practical conclusion is that acquisition metadata is not optional for this project. We now have it for four of five cohorts; TBI has none, which is why it is excluded rather than corrected.</w:t>
      </w:r>
    </w:p>
    <w:sectPr>
      <w:pgSz w:w="12240" w:h="15840" w:orient="portrait"/>
      <w:pgMar w:top="720" w:right="900" w:bottom="6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2026-09-15T08:35:59.426Z</dcterms:created>
  <dcterms:modified xsi:type="dcterms:W3CDTF">2026-09-15T08:35:59.426Z</dcterms:modified>
</cp:coreProperties>
</file>

<file path=docProps/custom.xml><?xml version="1.0" encoding="utf-8"?>
<Properties xmlns="http://schemas.openxmlformats.org/officeDocument/2006/custom-properties" xmlns:vt="http://schemas.openxmlformats.org/officeDocument/2006/docPropsVTypes"/>
</file>