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C1C1E" w:val="clear"/>
          </w:tcPr>
          <w:p>
            <w:pPr>
              <w:spacing w:before="3200"/>
            </w:pPr>
          </w:p>
          <w:p>
            <w:pPr>
              <w:pBdr>
                <w:bottom w:val="single" w:color="8C9098" w:sz="6" w:space="8"/>
              </w:pBdr>
              <w:spacing w:after="500"/>
              <w:ind w:left="1200" w:right="1200"/>
            </w:pPr>
            <w:r>
              <w:rPr>
                <w:rFonts w:ascii="FreeSerif" w:eastAsia="Noto Sans SC"/>
                <w:color w:val="8C9098"/>
                <w:spacing w:val="40"/>
                <w:sz w:val="18"/>
                <w:szCs w:val="18"/>
              </w:rPr>
              <w:t xml:space="preserve">BUSINESS ANALYSIS</w:t>
            </w:r>
          </w:p>
          <w:p>
            <w:pPr>
              <w:spacing w:after="300" w:line="480" w:lineRule="atLeast"/>
              <w:ind w:left="1200"/>
            </w:pPr>
            <w:r>
              <w:rPr>
                <w:rFonts w:ascii="Liberation Sans" w:eastAsia="Noto Sans SC"/>
                <w:b/>
                <w:bCs/>
                <w:color w:val="FFFFFF"/>
                <w:sz w:val="72"/>
                <w:szCs w:val="72"/>
              </w:rPr>
              <w:t xml:space="preserve">Analisa Bisnis</w:t>
            </w:r>
          </w:p>
          <w:p>
            <w:pPr>
              <w:spacing w:after="300" w:line="480" w:lineRule="atLeast"/>
              <w:ind w:left="1200"/>
            </w:pPr>
            <w:r>
              <w:rPr>
                <w:rFonts w:ascii="Liberation Sans" w:eastAsia="Noto Sans SC"/>
                <w:b/>
                <w:bCs/>
                <w:color w:val="FFFFFF"/>
                <w:sz w:val="72"/>
                <w:szCs w:val="72"/>
              </w:rPr>
              <w:t xml:space="preserve">Praktis</w:t>
            </w:r>
          </w:p>
          <w:p>
            <w:pPr>
              <w:spacing w:after="300" w:line="480" w:lineRule="atLeast"/>
              <w:ind w:left="1200"/>
            </w:pPr>
            <w:r>
              <w:rPr>
                <w:rFonts w:ascii="Liberation Sans" w:eastAsia="Noto Sans SC"/>
                <w:b/>
                <w:bCs/>
                <w:color w:val="FFFFFF"/>
                <w:sz w:val="72"/>
                <w:szCs w:val="72"/>
              </w:rPr>
              <w:t xml:space="preserve">Direct-to-Market</w:t>
            </w:r>
          </w:p>
          <w:p>
            <w:pPr>
              <w:spacing w:after="800"/>
              <w:ind w:left="1200"/>
            </w:pPr>
            <w:r>
              <w:rPr>
                <w:rFonts w:ascii="Liberation Sans" w:eastAsia="Noto Sans SC"/>
                <w:color w:val="B0B8C0"/>
                <w:sz w:val="24"/>
                <w:szCs w:val="24"/>
              </w:rPr>
              <w:t xml:space="preserve">AI Bookkeeping: dari PDF, foto, spreadsheet, dan CSV langsung menjadi draft jurnal &amp; laporan keuangan</w:t>
            </w:r>
          </w:p>
          <w:p>
            <w:pPr>
              <w:pBdr>
                <w:left w:val="single" w:color="8C9098" w:sz="8" w:space="12"/>
              </w:pBdr>
              <w:spacing w:after="100"/>
              <w:ind w:left="1400"/>
            </w:pPr>
            <w:r>
              <w:rPr>
                <w:rFonts w:ascii="Liberation Sans" w:eastAsia="Noto Sans SC"/>
                <w:color w:val="90989F"/>
                <w:sz w:val="24"/>
                <w:szCs w:val="24"/>
              </w:rPr>
              <w:t xml:space="preserve">Penyusun: Rama Wijaya</w:t>
            </w:r>
          </w:p>
          <w:p>
            <w:pPr>
              <w:pBdr>
                <w:left w:val="single" w:color="8C9098" w:sz="8" w:space="12"/>
              </w:pBdr>
              <w:spacing w:after="100"/>
              <w:ind w:left="1400"/>
            </w:pPr>
            <w:r>
              <w:rPr>
                <w:rFonts w:ascii="Liberation Sans" w:eastAsia="Noto Sans SC"/>
                <w:color w:val="90989F"/>
                <w:sz w:val="24"/>
                <w:szCs w:val="24"/>
              </w:rPr>
              <w:t xml:space="preserve">Tanggal: 14 Agustus 2026</w:t>
            </w:r>
          </w:p>
          <w:p>
            <w:pPr>
              <w:pBdr>
                <w:left w:val="single" w:color="8C9098" w:sz="8" w:space="12"/>
              </w:pBdr>
              <w:spacing w:after="100"/>
              <w:ind w:left="1400"/>
            </w:pPr>
            <w:r>
              <w:rPr>
                <w:rFonts w:ascii="Liberation Sans" w:eastAsia="Noto Sans SC"/>
                <w:color w:val="90989F"/>
                <w:sz w:val="24"/>
                <w:szCs w:val="24"/>
              </w:rPr>
              <w:t xml:space="preserve">Status: Draf — untuk review internal</w:t>
            </w:r>
          </w:p>
          <w:p>
            <w:pPr>
              <w:spacing w:before="2200"/>
            </w:pPr>
          </w:p>
          <w:p>
            <w:pPr>
              <w:pBdr>
                <w:top w:val="single" w:color="8C9098" w:sz="2" w:space="8"/>
              </w:pBdr>
              <w:spacing w:before="200"/>
              <w:ind w:left="1200" w:right="1200"/>
            </w:pPr>
            <w:r>
              <w:rPr>
                <w:rFonts w:ascii="Liberation Sans"/>
                <w:color w:val="808890"/>
                <w:sz w:val="16"/>
                <w:szCs w:val="16"/>
              </w:rPr>
              <w:t xml:space="preserve">Confidential</w:t>
            </w:r>
            <w:r>
              <w:t xml:space="preserve">                                    </w:t>
            </w:r>
            <w:r>
              <w:rPr>
                <w:rFonts w:ascii="Liberation Sans"/>
                <w:color w:val="808890"/>
                <w:sz w:val="16"/>
                <w:szCs w:val="16"/>
              </w:rPr>
              <w:t xml:space="preserve">Praktis · Analisa Bisnis</w:t>
            </w:r>
          </w:p>
        </w:tc>
      </w:tr>
    </w:tbl>
    <w:p>
      <w:pPr>
        <w:sectPr>
          <w:pgSz w:w="11906" w:h="16838" w:orient="portrait"/>
          <w:pgMar w:top="0" w:right="0" w:bottom="0" w:left="0" w:header="708" w:footer="708" w:gutter="0"/>
          <w:docGrid w:linePitch="360"/>
        </w:sectPr>
      </w:pPr>
    </w:p>
    <w:p>
      <w:pPr>
        <w:spacing w:after="200"/>
      </w:pPr>
      <w:r>
        <w:rPr>
          <w:rFonts w:ascii="FreeSerif" w:eastAsia="Noto Sans SC"/>
          <w:b/>
          <w:bCs/>
          <w:color w:val="5C6068"/>
          <w:sz w:val="32"/>
          <w:szCs w:val="32"/>
        </w:rPr>
        <w:t xml:space="preserve">Daftar Isi</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Landasan Pasar</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Analisis Kompetitor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Temuan Nexius AI</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4. Model Bisnis &amp; Pricing</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5. Investasi Awal</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5.1 Kondisi aktual Praktis (produk sudah LIVE)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5.2 Biaya pengembangan fitur direct-market (one-off)</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6. Proyeksi Revenue 12 Bulan</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7. Unit Economics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8. Rencana Pemasaran &amp; Biaya</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9. Risiko &amp; Mitigasi</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10. Rekomendasi</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11. Lampiran: Sumber Riset</w:t>
            </w:r>
            <w:r>
              <w:tab/>
            </w:r>
            <w:r>
              <w:fldChar w:fldCharType="begin"/>
            </w:r>
            <w:r>
              <w:instrText xml:space="preserve"> PAGEREF _Toc100013 \h </w:instrText>
            </w:r>
            <w:r>
              <w:fldChar w:fldCharType="separate"/>
            </w:r>
            <w:r>
              <w:t>6</w:t>
            </w:r>
            <w:r>
              <w:fldChar w:fldCharType="end"/>
            </w:r>
          </w:hyperlink>
        </w:p>
        <w:p>
          <w:r>
            <w:fldChar w:fldCharType="end"/>
          </w:r>
        </w:p>
      </w:sdtContent>
    </w:sdt>
    <w:p>
      <w:pPr>
        <w:pStyle w:val="Heading1"/>
        <w:pageBreakBefore/>
        <w:spacing w:after="160" w:before="360"/>
      </w:pPr>
      <w:bookmarkStart w:id="100000" w:name="_Toc100000"/>
      <w:r>
        <w:rPr>
          <w:rFonts w:ascii="FreeSerif" w:eastAsia="Noto Sans SC"/>
          <w:b/>
          <w:bCs/>
          <w:color w:val="5C6068"/>
          <w:sz w:val="32"/>
          <w:szCs w:val="32"/>
        </w:rPr>
        <w:t xml:space="preserve">1. Ringkasan Eksekutif</w:t>
      </w:r>
      <w:bookmarkEnd w:id="100000"/>
    </w:p>
    <w:p>
      <w:pPr>
        <w:spacing w:line="312"/>
        <w:ind w:firstLine="480"/>
        <w:jc w:val="both"/>
      </w:pPr>
      <w:r>
        <w:rPr>
          <w:rFonts w:ascii="FreeSerif" w:eastAsia="Noto Sans SC"/>
          <w:color w:val="000000"/>
          <w:sz w:val="24"/>
          <w:szCs w:val="24"/>
        </w:rPr>
        <w:t xml:space="preserve">Praktis saat ini sudah beroperasi untuk firma akuntansi (KAP). Dokumen ini mengevaluasi jalur kedua: menjual langsung ke tim finance perusahaan — model seperti rekeningkoran.com, tetapi dengan rantai nilai yang lebih panjang, hingga jurnal dan laporan keuangan siap review.</w:t>
      </w:r>
    </w:p>
    <w:p>
      <w:pPr>
        <w:spacing w:line="312"/>
        <w:ind w:firstLine="480"/>
        <w:jc w:val="both"/>
      </w:pPr>
      <w:r>
        <w:rPr>
          <w:rFonts w:ascii="FreeSerif" w:eastAsia="Noto Sans SC"/>
          <w:color w:val="000000"/>
          <w:sz w:val="24"/>
          <w:szCs w:val="24"/>
        </w:rPr>
        <w:t xml:space="preserve">Kesimpulan utama dari analisis ini adalah sebagai berikut. Modal awal yang dibutuhkan kecil (Rp 15–40 juta) karena produk sudah jadi; investasi dominan berada di pemasaran dan pengembangan fitur direct-market. Revenue potensial 12 bulan diperkirakan Rp 100 juta hingga Rp 1,0 miliar tergantung skenario. Break-even diperkirakan terjadi pada bulan ke-8 untuk skenario moderat, dan tidak tercapai dalam 12 bulan untuk skenario konservatif. Risiko terbesar bukan teknis, melainkan rasio biaya akuisisi terhadap pendapatan per pelanggan, serta positioning di antara rekeningkoran.com yang murah dan software akuntansi seperti Accurate, Jurnal, dan Kledo.</w:t>
      </w:r>
    </w:p>
    <w:p>
      <w:pPr>
        <w:pStyle w:val="Heading1"/>
        <w:spacing w:after="160" w:before="360"/>
      </w:pPr>
      <w:bookmarkStart w:id="100001" w:name="_Toc100001"/>
      <w:r>
        <w:rPr>
          <w:rFonts w:ascii="FreeSerif" w:eastAsia="Noto Sans SC"/>
          <w:b/>
          <w:bCs/>
          <w:color w:val="5C6068"/>
          <w:sz w:val="32"/>
          <w:szCs w:val="32"/>
        </w:rPr>
        <w:t xml:space="preserve">2. Landasan Pasar</w:t>
      </w:r>
      <w:bookmarkEnd w:id="100001"/>
    </w:p>
    <w:p>
      <w:pPr>
        <w:spacing w:line="312"/>
        <w:ind w:firstLine="480"/>
        <w:jc w:val="both"/>
      </w:pPr>
      <w:r>
        <w:rPr>
          <w:rFonts w:ascii="FreeSerif" w:eastAsia="Noto Sans SC"/>
          <w:color w:val="000000"/>
          <w:sz w:val="24"/>
          <w:szCs w:val="24"/>
        </w:rPr>
        <w:t xml:space="preserve">Data pasar yang dikumpulkan dari sumber publik menunjukkan peluang yang besar namun masih awal terdigitalisasi.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Indikator</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Angka</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Sumber</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Akuntan publik Indonesia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7.226 (Mei 2025)</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IAPI via ddtc.co.id</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UMKM non-pertanian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30,21 juta unit (2025)</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Kemenkop via kadin.id</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Total UMKM</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65,5 juta unit</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detikcom / Kemenkop 2025</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UMKM belum punya laporan keuangan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84,8%</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BPS via techinasia</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Wajib pajak UMKM aktif (DJP)</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4,2 juta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DJP via umkm.go.id</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Harga software akuntansi kompetitor</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140 ribu – 900 ribu/bulan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jurnal.id, akuntansiterbaik.com</w:t>
            </w:r>
          </w:p>
        </w:tc>
      </w:tr>
    </w:tbl>
    <w:p>
      <w:pPr>
        <w:spacing w:after="200" w:before="80"/>
      </w:pPr>
      <w:r>
        <w:rPr>
          <w:rFonts w:ascii="FreeSerif" w:eastAsia="Noto Sans SC"/>
          <w:i/>
          <w:iCs/>
          <w:color w:val="808890"/>
          <w:sz w:val="20"/>
          <w:szCs w:val="20"/>
        </w:rPr>
        <w:t xml:space="preserve">Tabel 1. Data pasar bookkeeping Indonesia (Agustus 2026)</w:t>
      </w:r>
    </w:p>
    <w:p>
      <w:pPr>
        <w:spacing w:line="312"/>
        <w:ind w:firstLine="480"/>
        <w:jc w:val="both"/>
      </w:pPr>
      <w:r>
        <w:rPr>
          <w:rFonts w:ascii="FreeSerif" w:eastAsia="Noto Sans SC"/>
          <w:color w:val="000000"/>
          <w:sz w:val="24"/>
          <w:szCs w:val="24"/>
        </w:rPr>
        <w:t xml:space="preserve">Segmen yang paling siap membayar adalah tim finance perusahaan menengah serta KAP dan jasa akuntansi — mereka memiliki volume transaksi dan tenggat closing bulanan. Software akuntansi menjual pencatatan; Praktis menjual otomasi input dokumen, sehingga bersifat melengkapi, bukan menggantikan.</w:t>
      </w:r>
    </w:p>
    <w:p>
      <w:pPr>
        <w:pStyle w:val="Heading1"/>
        <w:spacing w:after="160" w:before="360"/>
      </w:pPr>
      <w:bookmarkStart w:id="100002" w:name="_Toc100002"/>
      <w:r>
        <w:rPr>
          <w:rFonts w:ascii="FreeSerif" w:eastAsia="Noto Sans SC"/>
          <w:b/>
          <w:bCs/>
          <w:color w:val="5C6068"/>
          <w:sz w:val="32"/>
          <w:szCs w:val="32"/>
        </w:rPr>
        <w:t xml:space="preserve">3. Analisis Kompetitor</w:t>
      </w:r>
      <w:bookmarkEnd w:id="100002"/>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Produk</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Harga</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Value yang dijual</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Rekeningkoran.com</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400/halaman (pay-as-you-go)</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Konversi rekening koran ke Excel saja</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REKONSIA</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Tidak publik</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Konversi rekening koran ke Excel</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Nexius AI (nexiusai.com)</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Tidak dipublikasikan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Rekening koran → laporan keuangan (mirip Praktis)</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Mekari Jurnal</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359–449 ribu/bulan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Software akuntansi lengkap</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Accurate Online</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277,5–333 ribu/bulan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Software akuntansi lengkap</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Kledo</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140–159 ribu/bulan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Software akuntansi lengkap</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Praktis (usulan direct)</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250–500/transaksi atau paket Rp 500 ribu–2 juta/bulan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Dokumen → draft jurnal + laporan (review dulu)</w:t>
            </w:r>
          </w:p>
        </w:tc>
      </w:tr>
    </w:tbl>
    <w:p>
      <w:pPr>
        <w:spacing w:after="200" w:before="80"/>
      </w:pPr>
      <w:r>
        <w:rPr>
          <w:rFonts w:ascii="FreeSerif" w:eastAsia="Noto Sans SC"/>
          <w:i/>
          <w:iCs/>
          <w:color w:val="808890"/>
          <w:sz w:val="20"/>
          <w:szCs w:val="20"/>
        </w:rPr>
        <w:t xml:space="preserve">Tabel 2. Perbandingan kompetitor dan benchmark harga</w:t>
      </w:r>
    </w:p>
    <w:p>
      <w:pPr>
        <w:pStyle w:val="Heading2"/>
        <w:spacing w:after="120" w:before="280"/>
      </w:pPr>
      <w:bookmarkStart w:id="100003" w:name="_Toc100003"/>
      <w:r>
        <w:rPr>
          <w:rFonts w:ascii="FreeSerif" w:eastAsia="Noto Sans SC"/>
          <w:b/>
          <w:bCs/>
          <w:color w:val="5C6068"/>
          <w:sz w:val="30"/>
          <w:szCs w:val="30"/>
        </w:rPr>
        <w:t xml:space="preserve">3.1 Temuan Nexius AI</w:t>
      </w:r>
      <w:bookmarkEnd w:id="100003"/>
    </w:p>
    <w:p>
      <w:pPr>
        <w:spacing w:line="312"/>
        <w:ind w:firstLine="480"/>
        <w:jc w:val="both"/>
      </w:pPr>
      <w:r>
        <w:rPr>
          <w:rFonts w:ascii="FreeSerif" w:eastAsia="Noto Sans SC"/>
          <w:color w:val="000000"/>
          <w:sz w:val="24"/>
          <w:szCs w:val="24"/>
        </w:rPr>
        <w:t xml:space="preserve">Riset lapangan 14 Agustus 2026 menemukan bahwa nexiusai.com sedang dalam pemeliharaan (perusahaan PT. Indonesia Kuat Sukses), sementara domain nexius.id masih parked di Hostinger. Channel utama mereka adalah Instagram @nexius.id. Value proposition-nya serupa dengan Praktis: upload rekening koran, laporan keuangan lengkap dalam waktu kurang dari lima menit, dengan output PDF dan Excel. Mereka juga memiliki kemitraan dengan ABDSI untuk menjangkau UMKM.</w:t>
      </w:r>
    </w:p>
    <w:p>
      <w:pPr>
        <w:spacing w:line="312"/>
        <w:ind w:firstLine="480"/>
        <w:jc w:val="both"/>
      </w:pPr>
      <w:r>
        <w:rPr>
          <w:rFonts w:ascii="FreeSerif" w:eastAsia="Noto Sans SC"/>
          <w:color w:val="000000"/>
          <w:sz w:val="24"/>
          <w:szCs w:val="24"/>
        </w:rPr>
        <w:t xml:space="preserve">Implikasinya bagi Praktis: Nexius masih berada pada fase sangat awal, sehingga terdapat jendela peluang. Nexius menjual kecepatan; Praktis menjual kontrol (draft dan review). Perbedaan sudut ini dapat dieksploitasi dalam pesan pemasaran.</w:t>
      </w:r>
    </w:p>
    <w:p>
      <w:pPr>
        <w:pStyle w:val="Heading1"/>
        <w:spacing w:after="160" w:before="360"/>
      </w:pPr>
      <w:bookmarkStart w:id="100004" w:name="_Toc100004"/>
      <w:r>
        <w:rPr>
          <w:rFonts w:ascii="FreeSerif" w:eastAsia="Noto Sans SC"/>
          <w:b/>
          <w:bCs/>
          <w:color w:val="5C6068"/>
          <w:sz w:val="32"/>
          <w:szCs w:val="32"/>
        </w:rPr>
        <w:t xml:space="preserve">4. Model Bisnis &amp; Pricing</w:t>
      </w:r>
      <w:bookmarkEnd w:id="100004"/>
    </w:p>
    <w:p>
      <w:pPr>
        <w:spacing w:line="312"/>
        <w:ind w:firstLine="480"/>
        <w:jc w:val="both"/>
      </w:pPr>
      <w:r>
        <w:rPr>
          <w:rFonts w:ascii="FreeSerif" w:eastAsia="Noto Sans SC"/>
          <w:color w:val="000000"/>
          <w:sz w:val="24"/>
          <w:szCs w:val="24"/>
        </w:rPr>
        <w:t xml:space="preserve">Dua jalur pricing yang saling melengkapi: pay-per-use untuk on-ramp, dan langganan bulanan sebagai inti pendapatan.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Paket</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Kuota</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Harga</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Starter</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1.000 transaksi/bulan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500.000</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Growth</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3.000 transaksi/bulan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1.200.000</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Enterprise</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10.000+ transaksi/bulan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3.500.000 (custom)</w:t>
            </w:r>
          </w:p>
        </w:tc>
      </w:tr>
    </w:tbl>
    <w:p>
      <w:pPr>
        <w:spacing w:after="200" w:before="80"/>
      </w:pPr>
      <w:r>
        <w:rPr>
          <w:rFonts w:ascii="FreeSerif" w:eastAsia="Noto Sans SC"/>
          <w:i/>
          <w:iCs/>
          <w:color w:val="808890"/>
          <w:sz w:val="20"/>
          <w:szCs w:val="20"/>
        </w:rPr>
        <w:t xml:space="preserve">Tabel 3. Paket langganan bulanan usulan</w:t>
      </w:r>
    </w:p>
    <w:p>
      <w:pPr>
        <w:spacing w:line="312"/>
        <w:ind w:firstLine="480"/>
        <w:jc w:val="both"/>
      </w:pPr>
      <w:r>
        <w:rPr>
          <w:rFonts w:ascii="FreeSerif" w:eastAsia="Noto Sans SC"/>
          <w:color w:val="000000"/>
          <w:sz w:val="24"/>
          <w:szCs w:val="24"/>
        </w:rPr>
        <w:t xml:space="preserve">Target ARPU tertimbang: Rp 700 ribu – 1 juta per pelanggan per bulan. Langganan lebih penting karena revenue predictable, penggunaan bersifat rutin setiap closing bulanan, dan jalur upgrade natural saat volume naik.</w:t>
      </w:r>
    </w:p>
    <w:p>
      <w:pPr>
        <w:pStyle w:val="Heading1"/>
        <w:spacing w:after="160" w:before="360"/>
      </w:pPr>
      <w:bookmarkStart w:id="100005" w:name="_Toc100005"/>
      <w:r>
        <w:rPr>
          <w:rFonts w:ascii="FreeSerif" w:eastAsia="Noto Sans SC"/>
          <w:b/>
          <w:bCs/>
          <w:color w:val="5C6068"/>
          <w:sz w:val="32"/>
          <w:szCs w:val="32"/>
        </w:rPr>
        <w:t xml:space="preserve">5. Investasi Awal</w:t>
      </w:r>
      <w:bookmarkEnd w:id="100005"/>
    </w:p>
    <w:p>
      <w:pPr>
        <w:pStyle w:val="Heading2"/>
        <w:spacing w:after="120" w:before="280"/>
      </w:pPr>
      <w:bookmarkStart w:id="100006" w:name="_Toc100006"/>
      <w:r>
        <w:rPr>
          <w:rFonts w:ascii="FreeSerif" w:eastAsia="Noto Sans SC"/>
          <w:b/>
          <w:bCs/>
          <w:color w:val="5C6068"/>
          <w:sz w:val="30"/>
          <w:szCs w:val="30"/>
        </w:rPr>
        <w:t xml:space="preserve">5.1 Kondisi aktual Praktis (produk sudah LIVE)</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Item</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Estimasi/bulan</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Infrastruktur Railway (web + worker + Postgres + Redis)</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1–3 juta (skala: Rp 3–8 juta)</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AI cost (model routing ~Rp 70/transaksi)</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Variabel — sekitar 7–14% dari revenue</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Domain, email, tooling (analytics, CRM)</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0,5–1,5 juta</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Total opex infrastruktur</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2–5 juta (awal)</w:t>
            </w:r>
          </w:p>
        </w:tc>
      </w:tr>
    </w:tbl>
    <w:p>
      <w:pPr>
        <w:spacing w:after="200" w:before="80"/>
      </w:pPr>
      <w:r>
        <w:rPr>
          <w:rFonts w:ascii="FreeSerif" w:eastAsia="Noto Sans SC"/>
          <w:i/>
          <w:iCs/>
          <w:color w:val="808890"/>
          <w:sz w:val="20"/>
          <w:szCs w:val="20"/>
        </w:rPr>
        <w:t xml:space="preserve">Tabel 4. Opex infrastruktur bulanan</w:t>
      </w:r>
    </w:p>
    <w:p>
      <w:pPr>
        <w:pStyle w:val="Heading2"/>
        <w:spacing w:after="120" w:before="280"/>
      </w:pPr>
      <w:bookmarkStart w:id="100007" w:name="_Toc100007"/>
      <w:r>
        <w:rPr>
          <w:rFonts w:ascii="FreeSerif" w:eastAsia="Noto Sans SC"/>
          <w:b/>
          <w:bCs/>
          <w:color w:val="5C6068"/>
          <w:sz w:val="30"/>
          <w:szCs w:val="30"/>
        </w:rPr>
        <w:t xml:space="preserve">5.2 Biaya pengembangan fitur direct-market (one-off)</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Fitur</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Estimasi effort</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Self-serve signup + payment (Midtrans/Xendit)</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2–4 minggu</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Onboarding flow + contoh dokumen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1–2 minggu</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Export jurnal (CSV / format Accurate, Jurnal.id)</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1–2 minggu</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Landing page direct + kalkulator ROI</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1 minggu</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Total</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6–9 minggu</w:t>
            </w:r>
          </w:p>
        </w:tc>
      </w:tr>
    </w:tbl>
    <w:p>
      <w:pPr>
        <w:spacing w:after="200" w:before="80"/>
      </w:pPr>
      <w:r>
        <w:rPr>
          <w:rFonts w:ascii="FreeSerif" w:eastAsia="Noto Sans SC"/>
          <w:i/>
          <w:iCs/>
          <w:color w:val="808890"/>
          <w:sz w:val="20"/>
          <w:szCs w:val="20"/>
        </w:rPr>
        <w:t xml:space="preserve">Tabel 5. Estimasi pengembangan fitur direct-market</w:t>
      </w:r>
    </w:p>
    <w:p>
      <w:pPr>
        <w:spacing w:line="312"/>
        <w:ind w:firstLine="480"/>
        <w:jc w:val="both"/>
      </w:pPr>
      <w:r>
        <w:rPr>
          <w:rFonts w:ascii="FreeSerif" w:eastAsia="Noto Sans SC"/>
          <w:color w:val="000000"/>
          <w:sz w:val="24"/>
          <w:szCs w:val="24"/>
        </w:rPr>
        <w:t xml:space="preserve">Investasi awal riil yang dibutuhkan: Rp 15–40 juta, mencakup pemasaran 3 bulan pertama, pengembangan fitur, dan dana cadangan. Sebagai perbandingan, memulai dari nol (pengembangan 6 bulan oleh 1–2 engineer) membutuhkan Rp 320–645 juta.</w:t>
      </w:r>
    </w:p>
    <w:p>
      <w:pPr>
        <w:pStyle w:val="Heading1"/>
        <w:spacing w:after="160" w:before="360"/>
      </w:pPr>
      <w:bookmarkStart w:id="100008" w:name="_Toc100008"/>
      <w:r>
        <w:rPr>
          <w:rFonts w:ascii="FreeSerif" w:eastAsia="Noto Sans SC"/>
          <w:b/>
          <w:bCs/>
          <w:color w:val="5C6068"/>
          <w:sz w:val="32"/>
          <w:szCs w:val="32"/>
        </w:rPr>
        <w:t xml:space="preserve">6. Proyeksi Revenue 12 Bulan</w:t>
      </w:r>
      <w:bookmarkEnd w:id="100008"/>
    </w:p>
    <w:p>
      <w:pPr>
        <w:spacing w:line="312"/>
        <w:ind w:firstLine="480"/>
        <w:jc w:val="both"/>
      </w:pPr>
      <w:r>
        <w:rPr>
          <w:rFonts w:ascii="FreeSerif" w:eastAsia="Noto Sans SC"/>
          <w:color w:val="000000"/>
          <w:sz w:val="24"/>
          <w:szCs w:val="24"/>
        </w:rPr>
        <w:t xml:space="preserve">Tiga skenario dengan asumsi churn bulanan (konservatif 6%, moderat 5%, optimis 4%) dan investasi awal Rp 40 juta yang dimasukkan ke arus kas. Angka di bawah adalah hasil model spreadsheet.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Metrik (bulan ke-12)</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Konservatif</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Moderat</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Optimis</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Pelanggan akhir</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26</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81</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179</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MRR bulan 12</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15,6 juta</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64,8 juta</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179 juta</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Revenue kumulatif 12 bulan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113 juta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372 juta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1,0 miliar</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Net cash kumulatif</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−Rp 48 juta</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+Rp 112 juta</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+Rp 586 juta</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Break-even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Tidak tercapai</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Bulan ke-8</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Bulan ke-4</w:t>
            </w:r>
          </w:p>
        </w:tc>
      </w:tr>
    </w:tbl>
    <w:p>
      <w:pPr>
        <w:spacing w:after="200" w:before="80"/>
      </w:pPr>
      <w:r>
        <w:rPr>
          <w:rFonts w:ascii="FreeSerif" w:eastAsia="Noto Sans SC"/>
          <w:i/>
          <w:iCs/>
          <w:color w:val="808890"/>
          <w:sz w:val="20"/>
          <w:szCs w:val="20"/>
        </w:rPr>
        <w:t xml:space="preserve">Tabel 6. Ringkasan tiga skenario (12 bulan)</w:t>
      </w:r>
    </w:p>
    <w:p>
      <w:pPr>
        <w:spacing w:line="312"/>
        <w:ind w:firstLine="480"/>
        <w:jc w:val="both"/>
      </w:pPr>
      <w:r>
        <w:rPr>
          <w:rFonts w:ascii="FreeSerif" w:eastAsia="Noto Sans SC"/>
          <w:color w:val="000000"/>
          <w:sz w:val="24"/>
          <w:szCs w:val="24"/>
        </w:rPr>
        <w:t xml:space="preserve">Insight kunci: skenario konservatif rugi Rp 48 juta. Dengan pertumbuhan hanya 3 pelanggan/bulan pada ARPU Rp 600 ribu, bisnis tidak layak. Ini menandakan target minimum harus moderat, atau ARPU perlu dinaikkan.</w:t>
      </w:r>
    </w:p>
    <w:p>
      <w:pPr>
        <w:pStyle w:val="Heading1"/>
        <w:spacing w:after="160" w:before="360"/>
      </w:pPr>
      <w:bookmarkStart w:id="100009" w:name="_Toc100009"/>
      <w:r>
        <w:rPr>
          <w:rFonts w:ascii="FreeSerif" w:eastAsia="Noto Sans SC"/>
          <w:b/>
          <w:bCs/>
          <w:color w:val="5C6068"/>
          <w:sz w:val="32"/>
          <w:szCs w:val="32"/>
        </w:rPr>
        <w:t xml:space="preserve">7. Unit Economics</w:t>
      </w:r>
      <w:bookmarkEnd w:id="100009"/>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Metrik</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Target</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CAC (biaya akuisisi per pelanggan)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400–800 ribu</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ARPU</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700 ribu – 1 juta/bulan</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Gross margin (setelah AI cost + infra)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75–85%</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LTV (ARPU × margin ÷ churn 5%)</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10,5–15 juta</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LTV : CAC</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13–30× (sehat, &gt;3×)</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Payback CAC</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1–2 bulan</w:t>
            </w:r>
          </w:p>
        </w:tc>
      </w:tr>
    </w:tbl>
    <w:p>
      <w:pPr>
        <w:spacing w:after="200" w:before="80"/>
      </w:pPr>
      <w:r>
        <w:rPr>
          <w:rFonts w:ascii="FreeSerif" w:eastAsia="Noto Sans SC"/>
          <w:i/>
          <w:iCs/>
          <w:color w:val="808890"/>
          <w:sz w:val="20"/>
          <w:szCs w:val="20"/>
        </w:rPr>
        <w:t xml:space="preserve">Tabel 7. Unit economics target</w:t>
      </w:r>
    </w:p>
    <w:p>
      <w:pPr>
        <w:pStyle w:val="Heading1"/>
        <w:spacing w:after="160" w:before="360"/>
      </w:pPr>
      <w:bookmarkStart w:id="100010" w:name="_Toc100010"/>
      <w:r>
        <w:rPr>
          <w:rFonts w:ascii="FreeSerif" w:eastAsia="Noto Sans SC"/>
          <w:b/>
          <w:bCs/>
          <w:color w:val="5C6068"/>
          <w:sz w:val="32"/>
          <w:szCs w:val="32"/>
        </w:rPr>
        <w:t xml:space="preserve">8. Rencana Pemasaran &amp; Biaya</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Fase</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Bulan</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Aktivitas</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Budget</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Target</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Foundation</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1–3</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Konten, SEO, komunitas, cold outreach</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6 juta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10–15 pelanggan</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Accelerate</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4–6</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Google Ads, Meta, referral, webinar</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right"/>
            </w:pPr>
            <w:r>
              <w:rPr>
                <w:rFonts w:ascii="FreeSerif" w:eastAsia="Noto Sans SC"/>
                <w:color w:val="000000"/>
                <w:sz w:val="21"/>
                <w:szCs w:val="21"/>
              </w:rPr>
              <w:t xml:space="preserve">Rp 30 juta</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20 pelanggan baru</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Scale</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7–12</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Paid scale, partnership, 1 sales</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right"/>
            </w:pPr>
            <w:r>
              <w:rPr>
                <w:rFonts w:ascii="FreeSerif" w:eastAsia="Noto Sans SC"/>
                <w:color w:val="000000"/>
                <w:sz w:val="21"/>
                <w:szCs w:val="21"/>
              </w:rPr>
              <w:t xml:space="preserve">Rp 100 juta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50+ pelanggan baru</w:t>
            </w:r>
          </w:p>
        </w:tc>
      </w:tr>
    </w:tbl>
    <w:p>
      <w:pPr>
        <w:spacing w:after="200" w:before="80"/>
      </w:pPr>
      <w:r>
        <w:rPr>
          <w:rFonts w:ascii="FreeSerif" w:eastAsia="Noto Sans SC"/>
          <w:i/>
          <w:iCs/>
          <w:color w:val="808890"/>
          <w:sz w:val="20"/>
          <w:szCs w:val="20"/>
        </w:rPr>
        <w:t xml:space="preserve">Tabel 8. Rencana pemasaran 12 bulan (skenario moderat)</w:t>
      </w:r>
    </w:p>
    <w:p>
      <w:pPr>
        <w:spacing w:line="312"/>
        <w:ind w:firstLine="480"/>
        <w:jc w:val="both"/>
      </w:pPr>
      <w:r>
        <w:rPr>
          <w:rFonts w:ascii="FreeSerif" w:eastAsia="Noto Sans SC"/>
          <w:color w:val="000000"/>
          <w:sz w:val="24"/>
          <w:szCs w:val="24"/>
        </w:rPr>
        <w:t xml:space="preserve">Total biaya pemasaran 12 bulan sekitar Rp 135 juta pada skenario moderat, dengan CAC target Rp 400–800 ribu. Mulailah dengan budget kecil (Rp 6 juta untuk 3 bulan) sebelum product-market fit terbukti.</w:t>
      </w:r>
    </w:p>
    <w:p>
      <w:pPr>
        <w:pStyle w:val="Heading1"/>
        <w:spacing w:after="160" w:before="360"/>
      </w:pPr>
      <w:bookmarkStart w:id="100011" w:name="_Toc100011"/>
      <w:r>
        <w:rPr>
          <w:rFonts w:ascii="FreeSerif" w:eastAsia="Noto Sans SC"/>
          <w:b/>
          <w:bCs/>
          <w:color w:val="5C6068"/>
          <w:sz w:val="32"/>
          <w:szCs w:val="32"/>
        </w:rPr>
        <w:t xml:space="preserve">9. Risiko &amp; Mitigasi</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Risiko</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Level</w:t>
            </w:r>
          </w:p>
        </w:tc>
        <w:tc>
          <w:tcPr>
            <w:shd w:fill="5C6068" w:val="clear"/>
            <w:tcMar>
              <w:top w:type="dxa" w:w="80"/>
              <w:left w:type="dxa" w:w="120"/>
              <w:bottom w:type="dxa" w:w="80"/>
              <w:right w:type="dxa" w:w="120"/>
            </w:tcMar>
            <w:vAlign w:val="center"/>
          </w:tcPr>
          <w:p>
            <w:pPr>
              <w:jc w:val="center"/>
            </w:pPr>
            <w:r>
              <w:rPr>
                <w:rFonts w:ascii="FreeSerif" w:eastAsia="Noto Sans SC"/>
                <w:b/>
                <w:bCs/>
                <w:color w:val="FFFFFF"/>
                <w:sz w:val="21"/>
                <w:szCs w:val="21"/>
              </w:rPr>
              <w:t xml:space="preserve">Mitigasi</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Nexius AI sudah menjual value serupa</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Tinggi</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Riset mendalam; diferensiasi multi-dokumen &amp; human-review; pantau peluncuran mereka</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Rekeningkoran.com lebih murah</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Sedang</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Jangan lawan di harga; jual kelengkapan (jurnal + laporan + SPT)</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Akurasi mapping jurnal</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Sedang</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Human-in-the-loop (draft + review) sebagai desain inti; garansi kualitas</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Churn pelanggan</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Sedang</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Paket tahunan diskon; data portability (export selalu tersedia)</w:t>
            </w:r>
          </w:p>
        </w:tc>
      </w:tr>
      <w:tr>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Kenaikan AI cost</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Rendah–sedang</w:t>
            </w:r>
          </w:p>
        </w:tc>
        <w:tc>
          <w:tcPr>
            <w:tcBorders>
              <w:top w:val="single" w:color="D0D2D5" w:sz="4"/>
              <w:left w:val="single" w:color="D0D2D5" w:sz="4"/>
              <w:bottom w:val="single" w:color="D0D2D5" w:sz="4"/>
              <w:right w:val="single" w:color="D0D2D5" w:sz="4"/>
            </w:tcBorders>
            <w:tcMar>
              <w:top w:type="dxa" w:w="60"/>
              <w:left w:type="dxa" w:w="120"/>
              <w:bottom w:type="dxa" w:w="60"/>
              <w:right w:type="dxa" w:w="120"/>
            </w:tcMar>
            <w:vAlign w:val="center"/>
          </w:tcPr>
          <w:p>
            <w:pPr>
              <w:jc w:val="left"/>
            </w:pPr>
            <w:r>
              <w:rPr>
                <w:rFonts w:ascii="FreeSerif" w:eastAsia="Noto Sans SC"/>
                <w:color w:val="000000"/>
                <w:sz w:val="21"/>
                <w:szCs w:val="21"/>
              </w:rPr>
              <w:t xml:space="preserve">Model routing Rp 70/transaksi; monitoring margin bulanan</w:t>
            </w:r>
          </w:p>
        </w:tc>
      </w:tr>
      <w:tr>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Software akuntansi menambah fitur AI</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Rendah–sedang</w:t>
            </w:r>
          </w:p>
        </w:tc>
        <w:tc>
          <w:tcPr>
            <w:tcBorders>
              <w:top w:val="single" w:color="D0D2D5" w:sz="4"/>
              <w:left w:val="single" w:color="D0D2D5" w:sz="4"/>
              <w:bottom w:val="single" w:color="D0D2D5" w:sz="4"/>
              <w:right w:val="single" w:color="D0D2D5" w:sz="4"/>
            </w:tcBorders>
            <w:shd w:fill="EEEFF1" w:val="clear"/>
            <w:tcMar>
              <w:top w:type="dxa" w:w="60"/>
              <w:left w:type="dxa" w:w="120"/>
              <w:bottom w:type="dxa" w:w="60"/>
              <w:right w:type="dxa" w:w="120"/>
            </w:tcMar>
            <w:vAlign w:val="center"/>
          </w:tcPr>
          <w:p>
            <w:pPr>
              <w:jc w:val="left"/>
            </w:pPr>
            <w:r>
              <w:rPr>
                <w:rFonts w:ascii="FreeSerif" w:eastAsia="Noto Sans SC"/>
                <w:color w:val="000000"/>
                <w:sz w:val="21"/>
                <w:szCs w:val="21"/>
              </w:rPr>
              <w:t xml:space="preserve">Fokus ke otomasi dokumen (input), bukan pencatatan</w:t>
            </w:r>
          </w:p>
        </w:tc>
      </w:tr>
    </w:tbl>
    <w:p>
      <w:pPr>
        <w:spacing w:after="200" w:before="80"/>
      </w:pPr>
      <w:r>
        <w:rPr>
          <w:rFonts w:ascii="FreeSerif" w:eastAsia="Noto Sans SC"/>
          <w:i/>
          <w:iCs/>
          <w:color w:val="808890"/>
          <w:sz w:val="20"/>
          <w:szCs w:val="20"/>
        </w:rPr>
        <w:t xml:space="preserve">Tabel 9. Risiko dan mitigasi</w:t>
      </w:r>
    </w:p>
    <w:p>
      <w:pPr>
        <w:pStyle w:val="Heading1"/>
        <w:spacing w:after="160" w:before="360"/>
      </w:pPr>
      <w:bookmarkStart w:id="100012" w:name="_Toc100012"/>
      <w:r>
        <w:rPr>
          <w:rFonts w:ascii="FreeSerif" w:eastAsia="Noto Sans SC"/>
          <w:b/>
          <w:bCs/>
          <w:color w:val="5C6068"/>
          <w:sz w:val="32"/>
          <w:szCs w:val="32"/>
        </w:rPr>
        <w:t xml:space="preserve">10. Rekomendasi</w:t>
      </w:r>
      <w:bookmarkEnd w:id="100012"/>
    </w:p>
    <w:p>
      <w:pPr>
        <w:spacing w:line="300"/>
        <w:ind w:left="720" w:hanging="240"/>
      </w:pPr>
      <w:r>
        <w:rPr>
          <w:color w:val="5C6068"/>
          <w:sz w:val="24"/>
          <w:szCs w:val="24"/>
        </w:rPr>
        <w:t xml:space="preserve">•</w:t>
      </w:r>
      <w:r>
        <w:rPr>
          <w:rFonts w:ascii="FreeSerif" w:eastAsia="Noto Sans SC"/>
          <w:color w:val="000000"/>
          <w:sz w:val="24"/>
          <w:szCs w:val="24"/>
        </w:rPr>
        <w:t xml:space="preserve">  Jalankan dual-track: tetap jual ke KAP (ARPU tinggi, churn rendah) dan buka self-serve direct (volume), bukan memilih salah satu.</w:t>
      </w:r>
    </w:p>
    <w:p>
      <w:pPr>
        <w:spacing w:line="300"/>
        <w:ind w:left="720" w:hanging="240"/>
      </w:pPr>
      <w:r>
        <w:rPr>
          <w:color w:val="5C6068"/>
          <w:sz w:val="24"/>
          <w:szCs w:val="24"/>
        </w:rPr>
        <w:t xml:space="preserve">•</w:t>
      </w:r>
      <w:r>
        <w:rPr>
          <w:rFonts w:ascii="FreeSerif" w:eastAsia="Noto Sans SC"/>
          <w:color w:val="000000"/>
          <w:sz w:val="24"/>
          <w:szCs w:val="24"/>
        </w:rPr>
        <w:t xml:space="preserve">  Fitur wajib sebelum launch direct: self-serve signup + payment, export CSV jurnal (format Accurate/Jurnal.id), landing page dengan kalkulator ROI.</w:t>
      </w:r>
    </w:p>
    <w:p>
      <w:pPr>
        <w:spacing w:line="300"/>
        <w:ind w:left="720" w:hanging="240"/>
      </w:pPr>
      <w:r>
        <w:rPr>
          <w:color w:val="5C6068"/>
          <w:sz w:val="24"/>
          <w:szCs w:val="24"/>
        </w:rPr>
        <w:t xml:space="preserve">•</w:t>
      </w:r>
      <w:r>
        <w:rPr>
          <w:rFonts w:ascii="FreeSerif" w:eastAsia="Noto Sans SC"/>
          <w:color w:val="000000"/>
          <w:sz w:val="24"/>
          <w:szCs w:val="24"/>
        </w:rPr>
        <w:t xml:space="preserve">  Riset Nexius AI lebih dalam minggu ini — harga, akurasi, dan target pasar mereka. Ini kompetitor paling mirip.</w:t>
      </w:r>
    </w:p>
    <w:p>
      <w:pPr>
        <w:spacing w:line="300"/>
        <w:ind w:left="720" w:hanging="240"/>
      </w:pPr>
      <w:r>
        <w:rPr>
          <w:color w:val="5C6068"/>
          <w:sz w:val="24"/>
          <w:szCs w:val="24"/>
        </w:rPr>
        <w:t xml:space="preserve">•</w:t>
      </w:r>
      <w:r>
        <w:rPr>
          <w:rFonts w:ascii="FreeSerif" w:eastAsia="Noto Sans SC"/>
          <w:color w:val="000000"/>
          <w:sz w:val="24"/>
          <w:szCs w:val="24"/>
        </w:rPr>
        <w:t xml:space="preserve">  Uji pricing 2 bulan pertama: 30 pelanggan pertama dengan dua harga (Rp 250/transaksi vs paket Rp 500 ribu) untuk melihat mana yang konversinya lebih baik.</w:t>
      </w:r>
    </w:p>
    <w:p>
      <w:pPr>
        <w:spacing w:line="300"/>
        <w:ind w:left="720" w:hanging="240"/>
      </w:pPr>
      <w:r>
        <w:rPr>
          <w:color w:val="5C6068"/>
          <w:sz w:val="24"/>
          <w:szCs w:val="24"/>
        </w:rPr>
        <w:t xml:space="preserve">•</w:t>
      </w:r>
      <w:r>
        <w:rPr>
          <w:rFonts w:ascii="FreeSerif" w:eastAsia="Noto Sans SC"/>
          <w:color w:val="000000"/>
          <w:sz w:val="24"/>
          <w:szCs w:val="24"/>
        </w:rPr>
        <w:t xml:space="preserve">  Budget konservatif: mulai Rp 6 juta untuk 3 bulan pertama, jangan langsung besar sebelum product-market fit terbukti.</w:t>
      </w:r>
    </w:p>
    <w:p>
      <w:pPr>
        <w:pStyle w:val="Heading1"/>
        <w:spacing w:after="160" w:before="360"/>
      </w:pPr>
      <w:bookmarkStart w:id="100013" w:name="_Toc100013"/>
      <w:r>
        <w:rPr>
          <w:rFonts w:ascii="FreeSerif" w:eastAsia="Noto Sans SC"/>
          <w:b/>
          <w:bCs/>
          <w:color w:val="5C6068"/>
          <w:sz w:val="32"/>
          <w:szCs w:val="32"/>
        </w:rPr>
        <w:t xml:space="preserve">11. Lampiran: Sumber Riset</w:t>
      </w:r>
      <w:bookmarkEnd w:id="100013"/>
    </w:p>
    <w:p>
      <w:pPr>
        <w:spacing w:line="300"/>
        <w:ind w:left="720" w:hanging="240"/>
      </w:pPr>
      <w:r>
        <w:rPr>
          <w:color w:val="5C6068"/>
          <w:sz w:val="24"/>
          <w:szCs w:val="24"/>
        </w:rPr>
        <w:t xml:space="preserve">•</w:t>
      </w:r>
      <w:r>
        <w:rPr>
          <w:rFonts w:ascii="FreeSerif" w:eastAsia="Noto Sans SC"/>
          <w:color w:val="000000"/>
          <w:sz w:val="24"/>
          <w:szCs w:val="24"/>
        </w:rPr>
        <w:t xml:space="preserve">  IAPI via ddtc.co.id — jumlah akuntan publik (Mei 2025)</w:t>
      </w:r>
    </w:p>
    <w:p>
      <w:pPr>
        <w:spacing w:line="300"/>
        <w:ind w:left="720" w:hanging="240"/>
      </w:pPr>
      <w:r>
        <w:rPr>
          <w:color w:val="5C6068"/>
          <w:sz w:val="24"/>
          <w:szCs w:val="24"/>
        </w:rPr>
        <w:t xml:space="preserve">•</w:t>
      </w:r>
      <w:r>
        <w:rPr>
          <w:rFonts w:ascii="FreeSerif" w:eastAsia="Noto Sans SC"/>
          <w:color w:val="000000"/>
          <w:sz w:val="24"/>
          <w:szCs w:val="24"/>
        </w:rPr>
        <w:t xml:space="preserve">  Kemenkop via kadin.id — UMKM non-pertanian 2025</w:t>
      </w:r>
    </w:p>
    <w:p>
      <w:pPr>
        <w:spacing w:line="300"/>
        <w:ind w:left="720" w:hanging="240"/>
      </w:pPr>
      <w:r>
        <w:rPr>
          <w:color w:val="5C6068"/>
          <w:sz w:val="24"/>
          <w:szCs w:val="24"/>
        </w:rPr>
        <w:t xml:space="preserve">•</w:t>
      </w:r>
      <w:r>
        <w:rPr>
          <w:rFonts w:ascii="FreeSerif" w:eastAsia="Noto Sans SC"/>
          <w:color w:val="000000"/>
          <w:sz w:val="24"/>
          <w:szCs w:val="24"/>
        </w:rPr>
        <w:t xml:space="preserve">  BPS via techinasia.com — 84,8% UMKM tanpa laporan keuangan</w:t>
      </w:r>
    </w:p>
    <w:p>
      <w:pPr>
        <w:spacing w:line="300"/>
        <w:ind w:left="720" w:hanging="240"/>
      </w:pPr>
      <w:r>
        <w:rPr>
          <w:color w:val="5C6068"/>
          <w:sz w:val="24"/>
          <w:szCs w:val="24"/>
        </w:rPr>
        <w:t xml:space="preserve">•</w:t>
      </w:r>
      <w:r>
        <w:rPr>
          <w:rFonts w:ascii="FreeSerif" w:eastAsia="Noto Sans SC"/>
          <w:color w:val="000000"/>
          <w:sz w:val="24"/>
          <w:szCs w:val="24"/>
        </w:rPr>
        <w:t xml:space="preserve">  DJP via umkm.go.id — wajib pajak UMKM aktif 4,2 juta</w:t>
      </w:r>
    </w:p>
    <w:p>
      <w:pPr>
        <w:spacing w:line="300"/>
        <w:ind w:left="720" w:hanging="240"/>
      </w:pPr>
      <w:r>
        <w:rPr>
          <w:color w:val="5C6068"/>
          <w:sz w:val="24"/>
          <w:szCs w:val="24"/>
        </w:rPr>
        <w:t xml:space="preserve">•</w:t>
      </w:r>
      <w:r>
        <w:rPr>
          <w:rFonts w:ascii="FreeSerif" w:eastAsia="Noto Sans SC"/>
          <w:color w:val="000000"/>
          <w:sz w:val="24"/>
          <w:szCs w:val="24"/>
        </w:rPr>
        <w:t xml:space="preserve">  jurnal.id / akuntansiterbaik.com — harga kompetitor</w:t>
      </w:r>
    </w:p>
    <w:p>
      <w:pPr>
        <w:spacing w:line="300"/>
        <w:ind w:left="720" w:hanging="240"/>
      </w:pPr>
      <w:r>
        <w:rPr>
          <w:color w:val="5C6068"/>
          <w:sz w:val="24"/>
          <w:szCs w:val="24"/>
        </w:rPr>
        <w:t xml:space="preserve">•</w:t>
      </w:r>
      <w:r>
        <w:rPr>
          <w:rFonts w:ascii="FreeSerif" w:eastAsia="Noto Sans SC"/>
          <w:color w:val="000000"/>
          <w:sz w:val="24"/>
          <w:szCs w:val="24"/>
        </w:rPr>
        <w:t xml:space="preserve">  scamadviser.com — penilaian traffic rekeningkoran.com</w:t>
      </w:r>
    </w:p>
    <w:p>
      <w:pPr>
        <w:spacing w:line="300"/>
        <w:ind w:left="720" w:hanging="240"/>
      </w:pPr>
      <w:r>
        <w:rPr>
          <w:color w:val="5C6068"/>
          <w:sz w:val="24"/>
          <w:szCs w:val="24"/>
        </w:rPr>
        <w:t xml:space="preserve">•</w:t>
      </w:r>
      <w:r>
        <w:rPr>
          <w:rFonts w:ascii="FreeSerif" w:eastAsia="Noto Sans SC"/>
          <w:color w:val="000000"/>
          <w:sz w:val="24"/>
          <w:szCs w:val="24"/>
        </w:rPr>
        <w:t xml:space="preserve">  Situs rekeningkoran.com, nexiusai.com, Instagram @nexius.id (dibuka langsung Agustus 2026)</w:t>
      </w:r>
    </w:p>
    <w:p>
      <w:pPr>
        <w:spacing w:line="312"/>
        <w:ind w:firstLine="480"/>
        <w:jc w:val="both"/>
      </w:pPr>
      <w:r>
        <w:rPr>
          <w:rFonts w:ascii="FreeSerif" w:eastAsia="Noto Sans SC"/>
          <w:color w:val="000000"/>
          <w:sz w:val="24"/>
          <w:szCs w:val="24"/>
        </w:rPr>
        <w:t xml:space="preserve">Keterbatasan data: jumlah pelanggan rekeningkoran.com tidak tersedia publik; estimasi pengguna (300–1.500/bulan) merupakan perkiraan kasar dari sinyal traffic dan klaim situs. Angka ARPU, CAC, dan proyeksi adalah asumsi model yang harus divalidasi dengan data aktual tiga bulan pertama.</w:t>
      </w:r>
    </w:p>
    <w:sectPr>
      <w:headerReference w:type="default" r:id="rId7"/>
      <w:footerReference w:type="default" r:id="rId8"/>
      <w:pgSz w:w="11906" w:h="16838" w:orient="portrait"/>
      <w:pgMar w:top="1440" w:right="1797" w:bottom="1440" w:left="1797"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reeSerif"/>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FreeSerif" w:eastAsia="Noto Sans SC"/>
        <w:color w:val="808890"/>
        <w:sz w:val="16"/>
        <w:szCs w:val="16"/>
      </w:rPr>
      <w:t xml:space="preserve">Analisa Bisnis Praktis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eeSerif" w:eastAsia="Noto Sans SC"/>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2026-08-14T02:37:03.981Z</dcterms:created>
  <dcterms:modified xsi:type="dcterms:W3CDTF">2026-08-14T02:37:03.983Z</dcterms:modified>
</cp:coreProperties>
</file>

<file path=docProps/custom.xml><?xml version="1.0" encoding="utf-8"?>
<Properties xmlns="http://schemas.openxmlformats.org/officeDocument/2006/custom-properties" xmlns:vt="http://schemas.openxmlformats.org/officeDocument/2006/docPropsVTypes"/>
</file>