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42B7A8"/>
          <w:sz w:val="36"/>
        </w:rPr>
        <w:t>Informe Semanal de Mercados</w:t>
      </w:r>
    </w:p>
    <w:p>
      <w:pPr>
        <w:spacing w:after="0"/>
      </w:pPr>
      <w:r>
        <w:rPr>
          <w:color w:val="597C91"/>
          <w:sz w:val="16"/>
        </w:rPr>
        <w:t>Grupo Inteligencia  ·  Mercado &amp; Trading  ·  Diego Vargas</w:t>
      </w:r>
    </w:p>
    <w:p>
      <w:pPr>
        <w:spacing w:after="120"/>
      </w:pPr>
      <w:r>
        <w:rPr>
          <w:i/>
          <w:color w:val="6D7080"/>
          <w:sz w:val="15"/>
        </w:rPr>
        <w:t>El mercado es global. La estrategia es tuya.</w:t>
      </w:r>
    </w:p>
    <w:p>
      <w:pPr>
        <w:spacing w:after="100"/>
      </w:pPr>
      <w:r>
        <w:rPr>
          <w:b/>
          <w:color w:val="42B7A8"/>
        </w:rPr>
        <w:t>6 de agosto de 2026</w:t>
      </w:r>
      <w:r>
        <w:t xml:space="preserve">  |  Semana del 3 al 7 de agosto  ·  Foco operativo: 7–18 de agosto</w:t>
      </w:r>
    </w:p>
    <w:p>
      <w:pPr>
        <w:pStyle w:val="Heading1"/>
        <w:pBdr>
          <w:bottom w:val="single" w:sz="12" w:space="3" w:color="4DB5D4"/>
        </w:pBdr>
      </w:pPr>
      <w:r>
        <w:t>Resumen Ejecutivo</w:t>
      </w:r>
    </w:p>
    <w:p>
      <w:pPr>
        <w:jc w:val="both"/>
      </w:pPr>
      <w:r>
        <w:t>La semana estuvo marcada por Wall Street en máximos históricos y por el avance de un acuerdo para reabrir parcialmente el Estrecho de Ormuz. El S&amp;P 500 cerró por primera vez sobre los 7.700 puntos (7.736 el martes 5) y el Nasdaq superó los 26.500, empujados por la caída del petróleo y una temporada de resultados en general sólida. El jueves el mercado tomó un respiro —con alzas en las tasas de los Treasuries— pero sin quebrar la tendencia.</w:t>
      </w:r>
    </w:p>
    <w:p>
      <w:pPr>
        <w:jc w:val="both"/>
      </w:pPr>
      <w:r>
        <w:t>Para nuestros clientes de renta variable, la lectura es que el impulso sigue vigente, aunque conviene no confundir momentum con solidez estructural: el acuerdo de Ormuz es una tregua de 60 días, no una paz definitiva, y ya vimos en abril cómo un cese de hostilidades puede romperse. El foco inmediato es el viernes 7: en la mañana, nóminas no agrícolas de EE.UU.; al mediodía, IPC de Chile; y en la tarde, balanza comercial y exportaciones de cobre. El cobre en niveles récord sigue siendo el principal soporte del peso.</w:t>
      </w:r>
    </w:p>
    <w:p>
      <w:pPr>
        <w:jc w:val="both"/>
      </w:pPr>
      <w:r>
        <w:t>Tres focos operativos que sigo esta y la próxima semana: AMD (oportunidad de rebote tras el castigo post-resultados), AAPL (tech defensiva, menos expuesta a la IA) y el USD/CLP frente al dato de inflación chilena.</w:t>
      </w:r>
    </w:p>
    <w:p>
      <w:pPr>
        <w:pStyle w:val="Heading1"/>
        <w:pBdr>
          <w:bottom w:val="single" w:sz="12" w:space="3" w:color="4DB5D4"/>
        </w:pBdr>
      </w:pPr>
      <w:r>
        <w:t>1. Contexto de Mercado: Cifras de la Semana</w:t>
      </w:r>
    </w:p>
    <w:p>
      <w:pPr>
        <w:pStyle w:val="Heading2"/>
      </w:pPr>
      <w:r>
        <w:t>Renta Variable EE.UU.</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1800"/>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Índice</w:t>
            </w:r>
          </w:p>
        </w:tc>
        <w:tc>
          <w:tcPr>
            <w:tcW w:type="dxa" w:w="172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Cierre 3 ago</w:t>
            </w:r>
          </w:p>
        </w:tc>
        <w:tc>
          <w:tcPr>
            <w:tcW w:type="dxa" w:w="172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Cierre 5 ago</w:t>
            </w:r>
          </w:p>
        </w:tc>
        <w:tc>
          <w:tcPr>
            <w:tcW w:type="dxa" w:w="388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Comentario</w:t>
            </w:r>
          </w:p>
        </w:tc>
      </w:tr>
      <w:tr>
        <w:tc>
          <w:tcPr>
            <w:tcW w:type="dxa" w:w="180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S&amp;P 500</w:t>
            </w:r>
          </w:p>
        </w:tc>
        <w:tc>
          <w:tcPr>
            <w:tcW w:type="dxa" w:w="172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7.600,50</w:t>
            </w:r>
          </w:p>
        </w:tc>
        <w:tc>
          <w:tcPr>
            <w:tcW w:type="dxa" w:w="172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7.736,52</w:t>
            </w:r>
          </w:p>
        </w:tc>
        <w:tc>
          <w:tcPr>
            <w:tcW w:type="dxa" w:w="388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Primer cierre sobre 7.700; máximo histórico</w:t>
            </w:r>
          </w:p>
        </w:tc>
      </w:tr>
      <w:tr>
        <w:tc>
          <w:tcPr>
            <w:tcW w:type="dxa" w:w="180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Nasdaq Comp.</w:t>
            </w:r>
          </w:p>
        </w:tc>
        <w:tc>
          <w:tcPr>
            <w:tcW w:type="dxa" w:w="172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25.913,90</w:t>
            </w:r>
          </w:p>
        </w:tc>
        <w:tc>
          <w:tcPr>
            <w:tcW w:type="dxa" w:w="172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26.584,99</w:t>
            </w:r>
          </w:p>
        </w:tc>
        <w:tc>
          <w:tcPr>
            <w:tcW w:type="dxa" w:w="388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Liderado por tecnología (+2,6% el día 5)</w:t>
            </w:r>
          </w:p>
        </w:tc>
      </w:tr>
      <w:tr>
        <w:tc>
          <w:tcPr>
            <w:tcW w:type="dxa" w:w="180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Dow Jones</w:t>
            </w:r>
          </w:p>
        </w:tc>
        <w:tc>
          <w:tcPr>
            <w:tcW w:type="dxa" w:w="172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53.178,41</w:t>
            </w:r>
          </w:p>
        </w:tc>
        <w:tc>
          <w:tcPr>
            <w:tcW w:type="dxa" w:w="172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54.085,88</w:t>
            </w:r>
          </w:p>
        </w:tc>
        <w:tc>
          <w:tcPr>
            <w:tcW w:type="dxa" w:w="388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+907 pts el 5 ago; sobre 54.000</w:t>
            </w:r>
          </w:p>
        </w:tc>
      </w:tr>
    </w:tbl>
    <w:p>
      <w:pPr>
        <w:spacing w:after="20"/>
      </w:pPr>
    </w:p>
    <w:p>
      <w:pPr>
        <w:spacing w:before="0" w:after="80"/>
      </w:pPr>
      <w:r>
        <w:rPr>
          <w:i/>
          <w:color w:val="6D7080"/>
          <w:sz w:val="13"/>
        </w:rPr>
        <w:t>El jueves 6 el mercado corrigió levemente (Dow −0,7%; S&amp;P −0,1%; Nasdaq plano) por alza en tasas de Treasuries. Fuentes: CNBC, Yahoo Finance, TheStreet.</w:t>
      </w:r>
    </w:p>
    <w:p>
      <w:pPr>
        <w:pStyle w:val="Heading2"/>
      </w:pPr>
      <w:r>
        <w:t>Commodities</w:t>
      </w:r>
    </w:p>
    <w:tbl>
      <w:tblPr>
        <w:tblW w:type="auto" w:w="0"/>
        <w:jc w:val="center"/>
        <w:tblLayout w:type="fixed"/>
        <w:tblLook w:firstColumn="1" w:firstRow="1" w:lastColumn="0" w:lastRow="0" w:noHBand="0" w:noVBand="1" w:val="04A0"/>
      </w:tblPr>
      <w:tblGrid>
        <w:gridCol w:w="2613"/>
        <w:gridCol w:w="2613"/>
        <w:gridCol w:w="2613"/>
        <w:gridCol w:w="2613"/>
      </w:tblGrid>
      <w:tr>
        <w:tc>
          <w:tcPr>
            <w:tcW w:type="dxa" w:w="2232"/>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Activo</w:t>
            </w:r>
          </w:p>
        </w:tc>
        <w:tc>
          <w:tcPr>
            <w:tcW w:type="dxa" w:w="244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Precio (6 ago)</w:t>
            </w:r>
          </w:p>
        </w:tc>
        <w:tc>
          <w:tcPr>
            <w:tcW w:type="dxa" w:w="2016"/>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Semana</w:t>
            </w:r>
          </w:p>
        </w:tc>
        <w:tc>
          <w:tcPr>
            <w:tcW w:type="dxa" w:w="244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Interanual</w:t>
            </w:r>
          </w:p>
        </w:tc>
      </w:tr>
      <w:tr>
        <w:tc>
          <w:tcPr>
            <w:tcW w:type="dxa" w:w="2232"/>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Cobre (LME)</w:t>
            </w:r>
          </w:p>
        </w:tc>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US$6,71/lb</w:t>
            </w:r>
          </w:p>
        </w:tc>
        <w:tc>
          <w:tcPr>
            <w:tcW w:type="dxa" w:w="2016"/>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al alza</w:t>
            </w:r>
          </w:p>
        </w:tc>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+52,4%</w:t>
            </w:r>
          </w:p>
        </w:tc>
      </w:tr>
      <w:tr>
        <w:tc>
          <w:tcPr>
            <w:tcW w:type="dxa" w:w="2232"/>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Oro</w:t>
            </w:r>
          </w:p>
        </w:tc>
        <w:tc>
          <w:tcPr>
            <w:tcW w:type="dxa" w:w="244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US$4.242/oz</w:t>
            </w:r>
          </w:p>
        </w:tc>
        <w:tc>
          <w:tcPr>
            <w:tcW w:type="dxa" w:w="2016"/>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al alza</w:t>
            </w:r>
          </w:p>
        </w:tc>
        <w:tc>
          <w:tcPr>
            <w:tcW w:type="dxa" w:w="244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+24,9%</w:t>
            </w:r>
          </w:p>
        </w:tc>
      </w:tr>
      <w:tr>
        <w:tc>
          <w:tcPr>
            <w:tcW w:type="dxa" w:w="2232"/>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Petróleo WTI</w:t>
            </w:r>
          </w:p>
        </w:tc>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~US$75/bbl</w:t>
            </w:r>
          </w:p>
        </w:tc>
        <w:tc>
          <w:tcPr>
            <w:tcW w:type="dxa" w:w="2016"/>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−11%</w:t>
            </w:r>
          </w:p>
        </w:tc>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muy volátil</w:t>
            </w:r>
          </w:p>
        </w:tc>
      </w:tr>
    </w:tbl>
    <w:p>
      <w:pPr>
        <w:spacing w:after="20"/>
      </w:pPr>
    </w:p>
    <w:p>
      <w:pPr>
        <w:spacing w:before="0" w:after="80"/>
      </w:pPr>
      <w:r>
        <w:rPr>
          <w:i/>
          <w:color w:val="6D7080"/>
          <w:sz w:val="13"/>
        </w:rPr>
        <w:t>Fuentes: Trading Economics, Bloomberg. Cobre cerca de máximos históricos por oferta ajustada y demanda de data centers / transición energética.</w:t>
      </w:r>
    </w:p>
    <w:p>
      <w:pPr>
        <w:pStyle w:val="Heading2"/>
      </w:pPr>
      <w:r>
        <w:t>Chile y Tipo de Cambio</w:t>
      </w:r>
    </w:p>
    <w:tbl>
      <w:tblPr>
        <w:tblW w:type="auto" w:w="0"/>
        <w:jc w:val="center"/>
        <w:tblLayout w:type="fixed"/>
        <w:tblLook w:firstColumn="1" w:firstRow="1" w:lastColumn="0" w:lastRow="0" w:noHBand="0" w:noVBand="1" w:val="04A0"/>
      </w:tblPr>
      <w:tblGrid>
        <w:gridCol w:w="3485"/>
        <w:gridCol w:w="3485"/>
        <w:gridCol w:w="3485"/>
      </w:tblGrid>
      <w:tr>
        <w:tc>
          <w:tcPr>
            <w:tcW w:type="dxa" w:w="2880"/>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Indicador</w:t>
            </w:r>
          </w:p>
        </w:tc>
        <w:tc>
          <w:tcPr>
            <w:tcW w:type="dxa" w:w="2160"/>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Nivel</w:t>
            </w:r>
          </w:p>
        </w:tc>
        <w:tc>
          <w:tcPr>
            <w:tcW w:type="dxa" w:w="4320"/>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Comentario</w:t>
            </w:r>
          </w:p>
        </w:tc>
      </w:tr>
      <w:tr>
        <w:tc>
          <w:tcPr>
            <w:tcW w:type="dxa" w:w="288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IPSA</w:t>
            </w:r>
          </w:p>
        </w:tc>
        <w:tc>
          <w:tcPr>
            <w:tcW w:type="dxa" w:w="216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~11.158 pts</w:t>
            </w:r>
          </w:p>
        </w:tc>
        <w:tc>
          <w:tcPr>
            <w:tcW w:type="dxa" w:w="432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Máx. reciente; retail y SQM liderando</w:t>
            </w:r>
          </w:p>
        </w:tc>
      </w:tr>
      <w:tr>
        <w:tc>
          <w:tcPr>
            <w:tcW w:type="dxa" w:w="288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USD/CLP</w:t>
            </w:r>
          </w:p>
        </w:tc>
        <w:tc>
          <w:tcPr>
            <w:tcW w:type="dxa" w:w="216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~913,6</w:t>
            </w:r>
          </w:p>
        </w:tc>
        <w:tc>
          <w:tcPr>
            <w:tcW w:type="dxa" w:w="432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Sostenido por el cobre; volátil</w:t>
            </w:r>
          </w:p>
        </w:tc>
      </w:tr>
      <w:tr>
        <w:tc>
          <w:tcPr>
            <w:tcW w:type="dxa" w:w="288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TPM (Banco Central)</w:t>
            </w:r>
          </w:p>
        </w:tc>
        <w:tc>
          <w:tcPr>
            <w:tcW w:type="dxa" w:w="216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4,50%</w:t>
            </w:r>
          </w:p>
        </w:tc>
        <w:tc>
          <w:tcPr>
            <w:tcW w:type="dxa" w:w="4320"/>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Consenso: sin cambios</w:t>
            </w:r>
          </w:p>
        </w:tc>
      </w:tr>
      <w:tr>
        <w:tc>
          <w:tcPr>
            <w:tcW w:type="dxa" w:w="288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IPC julio (proy.)</w:t>
            </w:r>
          </w:p>
        </w:tc>
        <w:tc>
          <w:tcPr>
            <w:tcW w:type="dxa" w:w="216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~+0,1% m/m</w:t>
            </w:r>
          </w:p>
        </w:tc>
        <w:tc>
          <w:tcPr>
            <w:tcW w:type="dxa" w:w="4320"/>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Expectativas inflacionarias a la baja</w:t>
            </w:r>
          </w:p>
        </w:tc>
      </w:tr>
    </w:tbl>
    <w:p>
      <w:pPr>
        <w:spacing w:after="20"/>
      </w:pPr>
    </w:p>
    <w:p>
      <w:pPr>
        <w:spacing w:before="0" w:after="80"/>
      </w:pPr>
      <w:r>
        <w:rPr>
          <w:i/>
          <w:color w:val="6D7080"/>
          <w:sz w:val="13"/>
        </w:rPr>
        <w:t>Fuentes: Diario Financiero, Infobae, Rio Times, Banco Central de Chile. Nota: hoy los bancos lastraron al IPSA por caída de expectativas de inflación.</w:t>
      </w:r>
    </w:p>
    <w:p>
      <w:r>
        <w:br w:type="page"/>
      </w:r>
    </w:p>
    <w:p>
      <w:pPr>
        <w:pStyle w:val="Heading1"/>
        <w:pBdr>
          <w:bottom w:val="single" w:sz="12" w:space="3" w:color="4DB5D4"/>
        </w:pBdr>
      </w:pPr>
      <w:r>
        <w:t>2. Oportunidades de la Semana</w:t>
      </w:r>
    </w:p>
    <w:p>
      <w:pPr>
        <w:jc w:val="both"/>
      </w:pPr>
      <w:r>
        <w:t>Esta sección refleja mi lectura operativa para el horizonte de 1 a 2 semanas. Cada idea incluye nivel de entrada, objetivo y —tan importante como lo anterior— el nivel que invalida la tesis.</w:t>
      </w:r>
    </w:p>
    <w:p>
      <w:pPr>
        <w:pStyle w:val="Heading2"/>
      </w:pPr>
      <w:r>
        <w:t>2.1 AMD — Comprar el castigo hacia la resistencia</w:t>
      </w:r>
    </w:p>
    <w:p>
      <w:pPr>
        <w:jc w:val="both"/>
      </w:pPr>
      <w:r>
        <w:t>AMD reportó resultados sólidos (ingresos de US$11.540 millones, +50% interanual; guía para el Q3 en torno a US$13.000 millones), pero la acción cayó ~7% hasta la zona de US$480. El mercado castigó dos cosas: el margen bruto de 54% frente al 56% esperado, y el contexto de presión sobre el sector de memorias y microprocesadores, del que AMD es a la vez cliente y proveedor. En mi lectura, ese castigo es de corto plazo y abre una oportunidad de reingreso: los fundamentos del negocio (especialmente Data Center, 58% de los ingresos) siguen intactos.</w:t>
      </w:r>
    </w:p>
    <w:p>
      <w:pPr>
        <w:spacing w:after="40"/>
        <w:ind w:left="187" w:hanging="187"/>
      </w:pPr>
      <w:r>
        <w:rPr>
          <w:b/>
          <w:color w:val="42B7A8"/>
        </w:rPr>
        <w:t xml:space="preserve">▪ Entrada: </w:t>
      </w:r>
      <w:r>
        <w:t>Zona de entrada actual, tras el castigo post-resultados (US$480–490).</w:t>
      </w:r>
    </w:p>
    <w:p>
      <w:pPr>
        <w:spacing w:after="40"/>
        <w:ind w:left="187" w:hanging="187"/>
      </w:pPr>
      <w:r>
        <w:rPr>
          <w:b/>
          <w:color w:val="42B7A8"/>
        </w:rPr>
        <w:t xml:space="preserve">▪ Objetivo: </w:t>
      </w:r>
      <w:r>
        <w:t>Resistencia clara que la acción ha respetado, ~US$520 (recorrido de US$20–40 en 2 semanas).</w:t>
      </w:r>
    </w:p>
    <w:p>
      <w:pPr>
        <w:spacing w:after="40"/>
        <w:ind w:left="187" w:hanging="187"/>
      </w:pPr>
      <w:r>
        <w:rPr>
          <w:b/>
          <w:color w:val="42B7A8"/>
        </w:rPr>
        <w:t xml:space="preserve">▪ Invalidación: </w:t>
      </w:r>
      <w:r>
        <w:t>Pérdida sostenida del soporte de ~US$480 anula la tesis de rebote de corto plazo.</w:t>
      </w:r>
    </w:p>
    <w:p>
      <w:pPr>
        <w:spacing w:after="40"/>
        <w:ind w:left="187" w:hanging="187"/>
      </w:pPr>
      <w:r>
        <w:rPr>
          <w:b/>
          <w:color w:val="42B7A8"/>
        </w:rPr>
        <w:t xml:space="preserve">▪ A vigilar: </w:t>
      </w:r>
      <w:r>
        <w:t>El tema de márgenes (54% vs 56%) es fundamental, no solo sentimiento: el mercado debe mirar más allá de ese punto para que la acción recupere. Sin catalizador propio de AMD en las próximas 2 semanas, es esencialmente una jugada técnica de reversión.</w:t>
      </w:r>
    </w:p>
    <w:p>
      <w:pPr>
        <w:pStyle w:val="Heading2"/>
      </w:pPr>
      <w:r>
        <w:t>2.2 AAPL — El baluarte tecnológico menos expuesto a la IA</w:t>
      </w:r>
    </w:p>
    <w:p>
      <w:pPr>
        <w:jc w:val="both"/>
      </w:pPr>
      <w:r>
        <w:t>Apple (~US$312) se está consolidando como refugio para el inversionista que quiere exposición a tecnología sin depender de la narrativa de la inteligencia artificial, donde la IA no es su principal deuda ni su principal apuesta. Tras unos resultados que batieron estimaciones pero con una guía cauta que presionó el precio, veo espacio para una recuperación hacia los US$330 durante el mes —un objetivo moderado (+5,8%) y por debajo de su máximo de 52 semanas (US$344).</w:t>
      </w:r>
    </w:p>
    <w:p>
      <w:pPr>
        <w:spacing w:after="40"/>
        <w:ind w:left="187" w:hanging="187"/>
      </w:pPr>
      <w:r>
        <w:rPr>
          <w:b/>
          <w:color w:val="42B7A8"/>
        </w:rPr>
        <w:t xml:space="preserve">▪ Entrada: </w:t>
      </w:r>
      <w:r>
        <w:t>Niveles actuales en torno a US$312.</w:t>
      </w:r>
    </w:p>
    <w:p>
      <w:pPr>
        <w:spacing w:after="40"/>
        <w:ind w:left="187" w:hanging="187"/>
      </w:pPr>
      <w:r>
        <w:rPr>
          <w:b/>
          <w:color w:val="42B7A8"/>
        </w:rPr>
        <w:t xml:space="preserve">▪ Objetivo: </w:t>
      </w:r>
      <w:r>
        <w:t>US$330 en el horizonte del mes.</w:t>
      </w:r>
    </w:p>
    <w:p>
      <w:pPr>
        <w:spacing w:after="40"/>
        <w:ind w:left="187" w:hanging="187"/>
      </w:pPr>
      <w:r>
        <w:rPr>
          <w:b/>
          <w:color w:val="42B7A8"/>
        </w:rPr>
        <w:t xml:space="preserve">▪ Referencia: </w:t>
      </w:r>
      <w:r>
        <w:t>Máximo de 52 semanas en US$344 (techo de referencia).</w:t>
      </w:r>
    </w:p>
    <w:p>
      <w:pPr>
        <w:spacing w:after="40"/>
        <w:ind w:left="187" w:hanging="187"/>
      </w:pPr>
      <w:r>
        <w:rPr>
          <w:b/>
          <w:color w:val="42B7A8"/>
        </w:rPr>
        <w:t xml:space="preserve">▪ Marco: </w:t>
      </w:r>
      <w:r>
        <w:t>AMD y AAPL responden a ánimos de mercado levemente opuestos —AMD sube si vuelve el apetito por IA; AAPL si el dinero rota buscando refugio en tech—. Por eso considero a Apple como cobertura natural de la posición en AMD, no como una segunda apuesta al mismo escenario.</w:t>
      </w:r>
    </w:p>
    <w:p>
      <w:pPr>
        <w:pStyle w:val="Heading2"/>
      </w:pPr>
      <w:r>
        <w:t>2.3 USD/CLP — Inflación local y cobre en el centro</w:t>
      </w:r>
    </w:p>
    <w:p>
      <w:pPr>
        <w:jc w:val="both"/>
      </w:pPr>
      <w:r>
        <w:t>El viernes 7 de agosto el peso enfrenta un racimo de datos. Mi caso base es una leve fortaleza del peso, con el USD/CLP buscando la zona de 905–900, apoyado por el cobre en niveles récord (~US$6,72/lb) y con presión alcista. Cuidado con la secuencia intradía: en la mañana se publican las nóminas no agrícolas y la tasa de desempleo de EE.UU. —un dato fuerte fortalece al dólar global y podría empujar el USD/CLP al alza por sobre el efecto del cobre—; al mediodía llega el IPC de julio de Chile; y en la tarde, la balanza comercial y las exportaciones de cobre. Sobre el IPC hay una lectura contraintuitiva: un dato bajo (buena noticia de inflación) es dovish y debilitaría al peso hacia 920–925, mientras que un dato en línea o más alto sostiene la expectativa de tasas y favorece al peso.</w:t>
      </w:r>
    </w:p>
    <w:p>
      <w:pPr>
        <w:spacing w:after="40"/>
        <w:ind w:left="187" w:hanging="187"/>
      </w:pPr>
      <w:r>
        <w:rPr>
          <w:b/>
          <w:color w:val="42B7A8"/>
        </w:rPr>
        <w:t xml:space="preserve">▪ Caso base: </w:t>
      </w:r>
      <w:r>
        <w:t>Base: leve fortaleza del peso (905–900), sostenida por el cobre en récord y el risk-on global. El nivel que invalidaría el sesgo apreciativo es un quiebre sostenido sobre 920–925.</w:t>
      </w:r>
    </w:p>
    <w:p>
      <w:pPr>
        <w:spacing w:after="40"/>
        <w:ind w:left="187" w:hanging="187"/>
      </w:pPr>
      <w:r>
        <w:rPr>
          <w:b/>
          <w:color w:val="42B7A8"/>
        </w:rPr>
        <w:t xml:space="preserve">▪ Riesgo clave: </w:t>
      </w:r>
      <w:r>
        <w:t>El mayor riesgo a la baja del USD/CLP no es local sino externo: un NFP fuerte de EE.UU. en la mañana puede fortalecer al dólar global y pasar por encima del efecto cobre. Hoy los bancos ya lastraron al IPSA por menores expectativas de inflación, señal de un posible IPC más blando (sesgo hacia 920–925).</w:t>
      </w:r>
    </w:p>
    <w:p>
      <w:r>
        <w:br w:type="page"/>
      </w:r>
    </w:p>
    <w:p>
      <w:pPr>
        <w:spacing w:after="40"/>
        <w:ind w:left="187" w:hanging="187"/>
      </w:pPr>
      <w:r>
        <w:rPr>
          <w:b/>
          <w:color w:val="42B7A8"/>
        </w:rPr>
        <w:t xml:space="preserve">▪ Matiz: </w:t>
      </w:r>
      <w:r>
        <w:t>Datos positivos de balanza comercial y exportaciones de cobre confirman —no refutan— el escenario de peso fuerte. La ambigüedad está en el IPC, donde una “buena” cifra (baja) juega en contra del peso.</w:t>
      </w:r>
    </w:p>
    <w:p>
      <w:r>
        <w:br w:type="page"/>
      </w:r>
    </w:p>
    <w:p>
      <w:pPr>
        <w:pStyle w:val="Heading1"/>
        <w:pBdr>
          <w:bottom w:val="single" w:sz="12" w:space="3" w:color="4DB5D4"/>
        </w:pBdr>
      </w:pPr>
      <w:r>
        <w:t>3. Agenda y Catalizadores (7–18 de agosto)</w:t>
      </w:r>
    </w:p>
    <w:tbl>
      <w:tblPr>
        <w:tblW w:type="auto" w:w="0"/>
        <w:jc w:val="center"/>
        <w:tblLayout w:type="fixed"/>
        <w:tblLook w:firstColumn="1" w:firstRow="1" w:lastColumn="0" w:lastRow="0" w:noHBand="0" w:noVBand="1" w:val="04A0"/>
      </w:tblPr>
      <w:tblGrid>
        <w:gridCol w:w="3485"/>
        <w:gridCol w:w="3485"/>
        <w:gridCol w:w="3485"/>
      </w:tblGrid>
      <w:tr>
        <w:tc>
          <w:tcPr>
            <w:tcW w:type="dxa" w:w="2448"/>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Fecha / Ventana</w:t>
            </w:r>
          </w:p>
        </w:tc>
        <w:tc>
          <w:tcPr>
            <w:tcW w:type="dxa" w:w="3456"/>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Evento</w:t>
            </w:r>
          </w:p>
        </w:tc>
        <w:tc>
          <w:tcPr>
            <w:tcW w:type="dxa" w:w="3672"/>
            <w:vAlign w:val="center"/>
            <w:shd w:fill="1B1E31"/>
            <w:tcBorders>
              <w:top w:val="single" w:sz="4" w:color="34384C"/>
              <w:left w:val="single" w:sz="4" w:color="34384C"/>
              <w:bottom w:val="single" w:sz="4" w:color="34384C"/>
              <w:right w:val="single" w:sz="4" w:color="34384C"/>
              <w:insideH w:val="single" w:sz="4" w:color="34384C"/>
              <w:insideV w:val="single" w:sz="4" w:color="34384C"/>
            </w:tcBorders>
          </w:tcPr>
          <w:p>
            <w:pPr>
              <w:spacing w:after="0" w:before="0"/>
            </w:pPr>
            <w:r/>
            <w:r>
              <w:rPr>
                <w:rFonts w:ascii="Aptos" w:hAnsi="Aptos"/>
                <w:b/>
                <w:color w:val="FFFFFF"/>
                <w:sz w:val="16"/>
              </w:rPr>
              <w:t>Por qué importa</w:t>
            </w:r>
          </w:p>
        </w:tc>
      </w:tr>
      <w:tr>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Vie 7 ago (AM)</w:t>
            </w:r>
          </w:p>
        </w:tc>
        <w:tc>
          <w:tcPr>
            <w:tcW w:type="dxa" w:w="3456"/>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Nóminas no agrícolas y desempleo EE.UU.</w:t>
            </w:r>
          </w:p>
        </w:tc>
        <w:tc>
          <w:tcPr>
            <w:tcW w:type="dxa" w:w="3672"/>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Mueven el dólar global; marcan el tono del día para el USD/CLP</w:t>
            </w:r>
          </w:p>
        </w:tc>
      </w:tr>
      <w:tr>
        <w:tc>
          <w:tcPr>
            <w:tcW w:type="dxa" w:w="244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Vie 7 ago (mediodía)</w:t>
            </w:r>
          </w:p>
        </w:tc>
        <w:tc>
          <w:tcPr>
            <w:tcW w:type="dxa" w:w="3456"/>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IPC e IPC subyacente julio — Chile</w:t>
            </w:r>
          </w:p>
        </w:tc>
        <w:tc>
          <w:tcPr>
            <w:tcW w:type="dxa" w:w="3672"/>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Catalizador directo para el USD/CLP y expectativas de TPM</w:t>
            </w:r>
          </w:p>
        </w:tc>
      </w:tr>
      <w:tr>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Vie 7 ago (PM)</w:t>
            </w:r>
          </w:p>
        </w:tc>
        <w:tc>
          <w:tcPr>
            <w:tcW w:type="dxa" w:w="3456"/>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Balanza comercial y exportaciones de cobre — Chile</w:t>
            </w:r>
          </w:p>
        </w:tc>
        <w:tc>
          <w:tcPr>
            <w:tcW w:type="dxa" w:w="3672"/>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Flujo de divisas: dato fuerte refuerza el sesgo de peso fuerte</w:t>
            </w:r>
          </w:p>
        </w:tc>
      </w:tr>
      <w:tr>
        <w:tc>
          <w:tcPr>
            <w:tcW w:type="dxa" w:w="244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Semana del 10 ago</w:t>
            </w:r>
          </w:p>
        </w:tc>
        <w:tc>
          <w:tcPr>
            <w:tcW w:type="dxa" w:w="3456"/>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Continúa temporada de resultados</w:t>
            </w:r>
          </w:p>
        </w:tc>
        <w:tc>
          <w:tcPr>
            <w:tcW w:type="dxa" w:w="3672"/>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Rotación de foco más allá de las megacaps tecnológicas</w:t>
            </w:r>
          </w:p>
        </w:tc>
      </w:tr>
      <w:tr>
        <w:tc>
          <w:tcPr>
            <w:tcW w:type="dxa" w:w="2448"/>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Próximas semanas</w:t>
            </w:r>
          </w:p>
        </w:tc>
        <w:tc>
          <w:tcPr>
            <w:tcW w:type="dxa" w:w="3456"/>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Seguimiento acuerdo Estrecho de Ormuz</w:t>
            </w:r>
          </w:p>
        </w:tc>
        <w:tc>
          <w:tcPr>
            <w:tcW w:type="dxa" w:w="3672"/>
            <w:vAlign w:val="center"/>
            <w:shd w:fill="F7F7FA"/>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Tregua de 60 días: su solidez define el petróleo y el apetito por riesgo</w:t>
            </w:r>
          </w:p>
        </w:tc>
      </w:tr>
      <w:tr>
        <w:tc>
          <w:tcPr>
            <w:tcW w:type="dxa" w:w="2448"/>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color w:val="23242B"/>
                <w:sz w:val="16"/>
              </w:rPr>
              <w:t>26 ago</w:t>
            </w:r>
          </w:p>
        </w:tc>
        <w:tc>
          <w:tcPr>
            <w:tcW w:type="dxa" w:w="3456"/>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Resultados de Nvidia (NVDA)</w:t>
            </w:r>
          </w:p>
        </w:tc>
        <w:tc>
          <w:tcPr>
            <w:tcW w:type="dxa" w:w="3672"/>
            <w:vAlign w:val="center"/>
            <w:shd w:fill="ECEEF4"/>
            <w:tcBorders>
              <w:top w:val="single" w:sz="4" w:color="D7D9E2"/>
              <w:left w:val="single" w:sz="4" w:color="D7D9E2"/>
              <w:bottom w:val="single" w:sz="4" w:color="D7D9E2"/>
              <w:right w:val="single" w:sz="4" w:color="D7D9E2"/>
              <w:insideH w:val="single" w:sz="4" w:color="D7D9E2"/>
              <w:insideV w:val="single" w:sz="4" w:color="D7D9E2"/>
            </w:tcBorders>
          </w:tcPr>
          <w:p>
            <w:pPr>
              <w:spacing w:after="0" w:before="0"/>
            </w:pPr>
            <w:r/>
            <w:r>
              <w:rPr>
                <w:rFonts w:ascii="Aptos" w:hAnsi="Aptos"/>
                <w:b w:val="0"/>
                <w:color w:val="23242B"/>
                <w:sz w:val="16"/>
              </w:rPr>
              <w:t>Termómetro de semiconductores y de la narrativa IA (afecta a AMD)</w:t>
            </w:r>
          </w:p>
        </w:tc>
      </w:tr>
    </w:tbl>
    <w:p>
      <w:pPr>
        <w:spacing w:after="20"/>
      </w:pPr>
    </w:p>
    <w:p>
      <w:pPr>
        <w:pStyle w:val="Heading1"/>
        <w:pBdr>
          <w:bottom w:val="single" w:sz="12" w:space="3" w:color="4DB5D4"/>
        </w:pBdr>
      </w:pPr>
      <w:r>
        <w:t>Contexto Macro de Referencia</w:t>
      </w:r>
    </w:p>
    <w:p>
      <w:pPr>
        <w:spacing w:after="40"/>
        <w:ind w:left="187" w:hanging="187"/>
      </w:pPr>
      <w:r>
        <w:rPr>
          <w:b/>
          <w:color w:val="42B7A8"/>
        </w:rPr>
        <w:t xml:space="preserve">▪ Fed: </w:t>
      </w:r>
      <w:r>
        <w:t>La Reserva Federal mantuvo su tasa en 3,50%–3,75% en la reunión del 29 de julio (votación 9-3, con tres disidencias). La inflación sigue por encima de la meta de 2%.</w:t>
      </w:r>
    </w:p>
    <w:p>
      <w:pPr>
        <w:spacing w:after="40"/>
        <w:ind w:left="187" w:hanging="187"/>
      </w:pPr>
      <w:r>
        <w:rPr>
          <w:b/>
          <w:color w:val="42B7A8"/>
        </w:rPr>
        <w:t xml:space="preserve">▪ Earnings: </w:t>
      </w:r>
      <w:r>
        <w:t>Resultados de la semana: Disney batió y subió ~3% reafirmando su guía; Apple batió pero cayó ~4% por guía cauta; AMD cayó pese a buenos números por el tema de márgenes.</w:t>
      </w:r>
    </w:p>
    <w:p>
      <w:pPr>
        <w:spacing w:after="40"/>
        <w:ind w:left="187" w:hanging="187"/>
      </w:pPr>
      <w:r>
        <w:rPr>
          <w:b/>
          <w:color w:val="42B7A8"/>
        </w:rPr>
        <w:t xml:space="preserve">▪ Energía: </w:t>
      </w:r>
      <w:r>
        <w:t>El desplome del petróleo (WTI ~US$75, −11% semanal) por el avance del acuerdo de Ormuz fue el gran catalizador del apetito por riesgo global.</w:t>
      </w:r>
    </w:p>
    <w:p>
      <w:pPr>
        <w:spacing w:before="160"/>
      </w:pPr>
      <w:r>
        <w:rPr>
          <w:i/>
          <w:color w:val="6D7080"/>
          <w:sz w:val="13"/>
        </w:rPr>
        <w:t>Aviso: Este documento tiene fines informativos y educativos y refleja la visión del analista a la fecha de emisión. No constituye una recomendación personalizada de inversión ni una oferta de compra o venta de instrumentos financieros. Toda inversión conlleva riesgos, incluida la pérdida de capital; rentabilidades pasadas no garantizan resultados futuros. El cliente debe evaluar su perfil de riesgo antes de tomar decisiones.</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D7080"/>
        <w:sz w:val="13"/>
      </w:rPr>
      <w:t>Grupo Inteligencia · Informe Semanal de Mercados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324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42B7A8"/>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42B7A8"/>
      <w:sz w:val="21"/>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42B7A8"/>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42B7A8"/>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