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Enterprise–Vendor MSK Integration</w:t>
      </w:r>
    </w:p>
    <w:p>
      <w:pPr>
        <w:pStyle w:val="Heading1"/>
      </w:pPr>
      <w:r>
        <w:t>Complete Runtime Swimlane Assessment</w:t>
      </w:r>
    </w:p>
    <w:p>
      <w:r>
        <w:t>Healthcare integration reference assessment | Enterprise-owned Amazon MSK | Cohere Health or other vendors</w:t>
      </w:r>
    </w:p>
    <w:p>
      <w:r>
        <w:t>Scope: This document consolidates the earlier full swimlane assessment: request validation, runtime steps, independent delta positions, IAM, configurations, failure controls, pros/cons, SLA/SLO boundaries, and vendor security requirements. It also incorporates corrections identified in the supplied draw.io XML. It is not limited to the later XML review.</w:t>
      </w:r>
    </w:p>
    <w:p>
      <w:r>
        <w:t>Status: Proposed architecture and operating requirements—not a certification of Cohere Health capabilities. Numerical service objectives below are illustrative negotiation candidates, not measured performance or contractual commitments. This document consolidates the conversation; it does not constitute new external verification.</w:t>
      </w:r>
    </w:p>
    <w:p>
      <w:pPr>
        <w:pStyle w:val="Heading1"/>
      </w:pPr>
      <w:r>
        <w:t>1. Validation and architectural boundaries</w:t>
      </w:r>
    </w:p>
    <w:tbl>
      <w:tblPr>
        <w:tblStyle w:val="LightShading-Accent1"/>
        <w:tblW w:type="auto" w:w="0"/>
        <w:tblLook w:firstColumn="1" w:firstRow="1" w:lastColumn="0" w:lastRow="0" w:noHBand="0" w:noVBand="1" w:val="04A0"/>
      </w:tblPr>
      <w:tblGrid>
        <w:gridCol w:w="5112"/>
        <w:gridCol w:w="5112"/>
      </w:tblGrid>
      <w:tr>
        <w:tc>
          <w:tcPr>
            <w:tcW w:type="dxa" w:w="5112"/>
          </w:tcPr>
          <w:p>
            <w:r>
              <w:t>Requirement / assumption</w:t>
            </w:r>
          </w:p>
        </w:tc>
        <w:tc>
          <w:tcPr>
            <w:tcW w:type="dxa" w:w="5112"/>
          </w:tcPr>
          <w:p>
            <w:r>
              <w:t>Assessment</w:t>
            </w:r>
          </w:p>
        </w:tc>
      </w:tr>
      <w:tr>
        <w:tc>
          <w:tcPr>
            <w:tcW w:type="dxa" w:w="5112"/>
          </w:tcPr>
          <w:p>
            <w:r>
              <w:t>Publish independently of vendor readiness</w:t>
            </w:r>
          </w:p>
        </w:tc>
        <w:tc>
          <w:tcPr>
            <w:tcW w:type="dxa" w:w="5112"/>
          </w:tcPr>
          <w:p>
            <w:r>
              <w:t>Valid within contracted capacity and retention. Vendors may consume later; enterprise publication must not depend on vendor processing.</w:t>
            </w:r>
          </w:p>
        </w:tc>
      </w:tr>
      <w:tr>
        <w:tc>
          <w:tcPr>
            <w:tcW w:type="dxa" w:w="5112"/>
          </w:tcPr>
          <w:p>
            <w:r>
              <w:t>Independent vendor delta position</w:t>
            </w:r>
          </w:p>
        </w:tc>
        <w:tc>
          <w:tcPr>
            <w:tcW w:type="dxa" w:w="5112"/>
          </w:tcPr>
          <w:p>
            <w:r>
              <w:t>Valid. Separate source capture, publication, Kafka delivery and target business-applied positions.</w:t>
            </w:r>
          </w:p>
        </w:tc>
      </w:tr>
      <w:tr>
        <w:tc>
          <w:tcPr>
            <w:tcW w:type="dxa" w:w="5112"/>
          </w:tcPr>
          <w:p>
            <w:r>
              <w:t>Resume using only last timestamp</w:t>
            </w:r>
          </w:p>
        </w:tc>
        <w:tc>
          <w:tcPr>
            <w:tcW w:type="dxa" w:w="5112"/>
          </w:tcPr>
          <w:p>
            <w:r>
              <w:t>Insufficient as a general recovery contract. Use delivery offsets/cursors plus business versions, stable event IDs and explicit late-change/delete rules.</w:t>
            </w:r>
          </w:p>
        </w:tc>
      </w:tr>
      <w:tr>
        <w:tc>
          <w:tcPr>
            <w:tcW w:type="dxa" w:w="5112"/>
          </w:tcPr>
          <w:p>
            <w:r>
              <w:t>Durable checkpoint proves synchronization</w:t>
            </w:r>
          </w:p>
        </w:tc>
        <w:tc>
          <w:tcPr>
            <w:tcW w:type="dxa" w:w="5112"/>
          </w:tcPr>
          <w:p>
            <w:r>
              <w:t>Only if it records successful target application. Durable inbox receipt is a different milestone.</w:t>
            </w:r>
          </w:p>
        </w:tc>
      </w:tr>
      <w:tr>
        <w:tc>
          <w:tcPr>
            <w:tcW w:type="dxa" w:w="5112"/>
          </w:tcPr>
          <w:p>
            <w:r>
              <w:t>OIDC/CIAM directly authenticates every MSK consumer</w:t>
            </w:r>
          </w:p>
        </w:tc>
        <w:tc>
          <w:tcPr>
            <w:tcW w:type="dxa" w:w="5112"/>
          </w:tcPr>
          <w:p>
            <w:r>
              <w:t>Not an assumption to make. Human identity, API authorization and Kafka workload authentication are separate planes.</w:t>
            </w:r>
          </w:p>
        </w:tc>
      </w:tr>
      <w:tr>
        <w:tc>
          <w:tcPr>
            <w:tcW w:type="dxa" w:w="5112"/>
          </w:tcPr>
          <w:p>
            <w:r>
              <w:t>Enterprise does not own vendor delta logic</w:t>
            </w:r>
          </w:p>
        </w:tc>
        <w:tc>
          <w:tcPr>
            <w:tcW w:type="dxa" w:w="5112"/>
          </w:tcPr>
          <w:p>
            <w:r>
              <w:t>Valid. Enterprise still owns authorized publication, schema, completeness, retention and recovery service.</w:t>
            </w:r>
          </w:p>
        </w:tc>
      </w:tr>
      <w:tr>
        <w:tc>
          <w:tcPr>
            <w:tcW w:type="dxa" w:w="5112"/>
          </w:tcPr>
          <w:p>
            <w:r>
              <w:t>Cohere direct Kafka, private API or return events</w:t>
            </w:r>
          </w:p>
        </w:tc>
        <w:tc>
          <w:tcPr>
            <w:tcW w:type="dxa" w:w="5112"/>
          </w:tcPr>
          <w:p>
            <w:r>
              <w:t>Unverified. Confirm each interface and supported authentication with the vendor.</w:t>
            </w:r>
          </w:p>
        </w:tc>
      </w:tr>
      <w:tr>
        <w:tc>
          <w:tcPr>
            <w:tcW w:type="dxa" w:w="5112"/>
          </w:tcPr>
          <w:p>
            <w:r>
              <w:t>AI/agentic processing is required</w:t>
            </w:r>
          </w:p>
        </w:tc>
        <w:tc>
          <w:tcPr>
            <w:tcW w:type="dxa" w:w="5112"/>
          </w:tcPr>
          <w:p>
            <w:r>
              <w:t>Not established by this integration. Use neutral vendor synchronization/business-processing labels.</w:t>
            </w:r>
          </w:p>
        </w:tc>
      </w:tr>
      <w:tr>
        <w:tc>
          <w:tcPr>
            <w:tcW w:type="dxa" w:w="5112"/>
          </w:tcPr>
          <w:p>
            <w:r>
              <w:t>End-to-end synchronization SLA without vendor status</w:t>
            </w:r>
          </w:p>
        </w:tc>
        <w:tc>
          <w:tcPr>
            <w:tcW w:type="dxa" w:w="5112"/>
          </w:tcPr>
          <w:p>
            <w:r>
              <w:t>Not supportable from Kafka offsets alone. Require agreed application evidence and reconciliation.</w:t>
            </w:r>
          </w:p>
        </w:tc>
      </w:tr>
    </w:tbl>
    <w:p>
      <w:r>
        <w:t>Planning baseline: private MSK Provisioned with Standard brokers, three Availability Zones, and vendor-specific delivery topics. Validate all settings against the selected broker type, Kafka version, Region and workload before deployment.</w:t>
      </w:r>
    </w:p>
    <w:p>
      <w:pPr>
        <w:pStyle w:val="Heading1"/>
      </w:pPr>
      <w:r>
        <w:t>2. Four integration patterns</w:t>
      </w:r>
    </w:p>
    <w:tbl>
      <w:tblPr>
        <w:tblStyle w:val="LightShading-Accent1"/>
        <w:tblW w:type="auto" w:w="0"/>
        <w:tblLook w:firstColumn="1" w:firstRow="1" w:lastColumn="0" w:lastRow="0" w:noHBand="0" w:noVBand="1" w:val="04A0"/>
      </w:tblPr>
      <w:tblGrid>
        <w:gridCol w:w="5112"/>
        <w:gridCol w:w="5112"/>
      </w:tblGrid>
      <w:tr>
        <w:tc>
          <w:tcPr>
            <w:tcW w:type="dxa" w:w="5112"/>
          </w:tcPr>
          <w:p>
            <w:r>
              <w:t>Pattern</w:t>
            </w:r>
          </w:p>
        </w:tc>
        <w:tc>
          <w:tcPr>
            <w:tcW w:type="dxa" w:w="5112"/>
          </w:tcPr>
          <w:p>
            <w:r>
              <w:t>Flow and ownership</w:t>
            </w:r>
          </w:p>
        </w:tc>
      </w:tr>
      <w:tr>
        <w:tc>
          <w:tcPr>
            <w:tcW w:type="dxa" w:w="5112"/>
          </w:tcPr>
          <w:p>
            <w:r>
              <w:t>1 — Enterprise → vendor</w:t>
            </w:r>
          </w:p>
        </w:tc>
        <w:tc>
          <w:tcPr>
            <w:tcW w:type="dxa" w:w="5112"/>
          </w:tcPr>
          <w:p>
            <w:r>
              <w:t>Enterprise captures and publishes deltas. Vendor consumes directly (7A), or enterprise delivers through an adapter (7B). Vendor applies changes to its targets.</w:t>
            </w:r>
          </w:p>
        </w:tc>
      </w:tr>
      <w:tr>
        <w:tc>
          <w:tcPr>
            <w:tcW w:type="dxa" w:w="5112"/>
          </w:tcPr>
          <w:p>
            <w:r>
              <w:t>2 — Enterprise pulls from vendor</w:t>
            </w:r>
          </w:p>
        </w:tc>
        <w:tc>
          <w:tcPr>
            <w:tcW w:type="dxa" w:w="5112"/>
          </w:tcPr>
          <w:p>
            <w:r>
              <w:t>Enterprise extracts vendor data, stages it, transforms/validates it, and merges enterprise targets. Extraction and target-applied checkpoints are separate; Kafka ingestion alone is not ETL completion.</w:t>
            </w:r>
          </w:p>
        </w:tc>
      </w:tr>
      <w:tr>
        <w:tc>
          <w:tcPr>
            <w:tcW w:type="dxa" w:w="5112"/>
          </w:tcPr>
          <w:p>
            <w:r>
              <w:t>3 — Bidirectional</w:t>
            </w:r>
          </w:p>
        </w:tc>
        <w:tc>
          <w:tcPr>
            <w:tcW w:type="dxa" w:w="5112"/>
          </w:tcPr>
          <w:p>
            <w:r>
              <w:t>Combine outbound and inbound paths with separate permissions and checkpoints. Establish source-of-truth ownership by entity/field, correlation, causation and loop prevention.</w:t>
            </w:r>
          </w:p>
        </w:tc>
      </w:tr>
      <w:tr>
        <w:tc>
          <w:tcPr>
            <w:tcW w:type="dxa" w:w="5112"/>
          </w:tcPr>
          <w:p>
            <w:r>
              <w:t>4 — Vendor pulls daily publications</w:t>
            </w:r>
          </w:p>
        </w:tc>
        <w:tc>
          <w:tcPr>
            <w:tcW w:type="dxa" w:w="5112"/>
          </w:tcPr>
          <w:p>
            <w:r>
              <w:t>Enterprise publishes the contracted daily dataset. Vendor owns pull cadence, last successful position, delta comparison and target synchronization. Enterprise does not calculate the vendor’s business delta.</w:t>
            </w:r>
          </w:p>
        </w:tc>
      </w:tr>
    </w:tbl>
    <w:p>
      <w:pPr>
        <w:pStyle w:val="Heading1"/>
      </w:pPr>
      <w:r>
        <w:t>3. Swimlanes and component ownership</w:t>
      </w:r>
    </w:p>
    <w:tbl>
      <w:tblPr>
        <w:tblStyle w:val="LightShading-Accent1"/>
        <w:tblW w:type="auto" w:w="0"/>
        <w:tblLook w:firstColumn="1" w:firstRow="1" w:lastColumn="0" w:lastRow="0" w:noHBand="0" w:noVBand="1" w:val="04A0"/>
      </w:tblPr>
      <w:tblGrid>
        <w:gridCol w:w="5112"/>
        <w:gridCol w:w="5112"/>
      </w:tblGrid>
      <w:tr>
        <w:tc>
          <w:tcPr>
            <w:tcW w:type="dxa" w:w="5112"/>
          </w:tcPr>
          <w:p>
            <w:r>
              <w:t>Swimlane</w:t>
            </w:r>
          </w:p>
        </w:tc>
        <w:tc>
          <w:tcPr>
            <w:tcW w:type="dxa" w:w="5112"/>
          </w:tcPr>
          <w:p>
            <w:r>
              <w:t>Components and accountability</w:t>
            </w:r>
          </w:p>
        </w:tc>
      </w:tr>
      <w:tr>
        <w:tc>
          <w:tcPr>
            <w:tcW w:type="dxa" w:w="5112"/>
          </w:tcPr>
          <w:p>
            <w:r>
              <w:t>Enterprise source / domain owner</w:t>
            </w:r>
          </w:p>
        </w:tc>
        <w:tc>
          <w:tcPr>
            <w:tcW w:type="dxa" w:w="5112"/>
          </w:tcPr>
          <w:p>
            <w:r>
              <w:t>Applications, authoritative databases and outbox; source correctness, entity IDs, versions, business semantics and authorized data scope.</w:t>
            </w:r>
          </w:p>
        </w:tc>
      </w:tr>
      <w:tr>
        <w:tc>
          <w:tcPr>
            <w:tcW w:type="dxa" w:w="5112"/>
          </w:tcPr>
          <w:p>
            <w:r>
              <w:t>Enterprise integration / data team</w:t>
            </w:r>
          </w:p>
        </w:tc>
        <w:tc>
          <w:tcPr>
            <w:tcW w:type="dxa" w:w="5112"/>
          </w:tcPr>
          <w:p>
            <w:r>
              <w:t>CDC, transformation, entitlement projection, publication ledger, relay and inbound ETL; capture, normalization, publication and reconciliation.</w:t>
            </w:r>
          </w:p>
        </w:tc>
      </w:tr>
      <w:tr>
        <w:tc>
          <w:tcPr>
            <w:tcW w:type="dxa" w:w="5112"/>
          </w:tcPr>
          <w:p>
            <w:r>
              <w:t>Enterprise MSK platform team</w:t>
            </w:r>
          </w:p>
        </w:tc>
        <w:tc>
          <w:tcPr>
            <w:tcW w:type="dxa" w:w="5112"/>
          </w:tcPr>
          <w:p>
            <w:r>
              <w:t>Brokers, topics, network integration, access configuration, retention, capacity, monitoring and platform recovery.</w:t>
            </w:r>
          </w:p>
        </w:tc>
      </w:tr>
      <w:tr>
        <w:tc>
          <w:tcPr>
            <w:tcW w:type="dxa" w:w="5112"/>
          </w:tcPr>
          <w:p>
            <w:r>
              <w:t>Vendor integration and applications</w:t>
            </w:r>
          </w:p>
        </w:tc>
        <w:tc>
          <w:tcPr>
            <w:tcW w:type="dxa" w:w="5112"/>
          </w:tcPr>
          <w:p>
            <w:r>
              <w:t>Kafka client or API interface, durable inbox, transformation, target adapter and sync ledger; vendor-side application, deduplication and recovery.</w:t>
            </w:r>
          </w:p>
        </w:tc>
      </w:tr>
      <w:tr>
        <w:tc>
          <w:tcPr>
            <w:tcW w:type="dxa" w:w="5112"/>
          </w:tcPr>
          <w:p>
            <w:r>
              <w:t>Shared security / operations</w:t>
            </w:r>
          </w:p>
        </w:tc>
        <w:tc>
          <w:tcPr>
            <w:tcW w:type="dxa" w:w="5112"/>
          </w:tcPr>
          <w:p>
            <w:r>
              <w:t>Legal/privacy approval, identity governance, support contacts, incident response, certification, changes and offboarding.</w:t>
            </w:r>
          </w:p>
        </w:tc>
      </w:tr>
    </w:tbl>
    <w:p>
      <w:r>
        <w:t>Publication application logic should not be assigned to the MSK team merely because the destination is MSK. The platform team operates the service; source/integration teams own business event correctness.</w:t>
      </w:r>
    </w:p>
    <w:p>
      <w:pPr>
        <w:pStyle w:val="Heading1"/>
      </w:pPr>
      <w:r>
        <w:t>4. Delivery branches: 7A versus 7B</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Path</w:t>
            </w:r>
          </w:p>
        </w:tc>
        <w:tc>
          <w:tcPr>
            <w:tcW w:type="dxa" w:w="3408"/>
          </w:tcPr>
          <w:p>
            <w:r>
              <w:t>Components</w:t>
            </w:r>
          </w:p>
        </w:tc>
        <w:tc>
          <w:tcPr>
            <w:tcW w:type="dxa" w:w="3408"/>
          </w:tcPr>
          <w:p>
            <w:r>
              <w:t>Position ownership</w:t>
            </w:r>
          </w:p>
        </w:tc>
      </w:tr>
      <w:tr>
        <w:tc>
          <w:tcPr>
            <w:tcW w:type="dxa" w:w="3408"/>
          </w:tcPr>
          <w:p>
            <w:r>
              <w:t>7A: Direct Kafka</w:t>
            </w:r>
          </w:p>
        </w:tc>
        <w:tc>
          <w:tcPr>
            <w:tcW w:type="dxa" w:w="3408"/>
          </w:tcPr>
          <w:p>
            <w:r>
              <w:t>Vendor workload → approved private network → MSK topic → vendor consumer → inbox/target. Vendor initiates Kafka polling.</w:t>
            </w:r>
          </w:p>
        </w:tc>
        <w:tc>
          <w:tcPr>
            <w:tcW w:type="dxa" w:w="3408"/>
          </w:tcPr>
          <w:p>
            <w:r>
              <w:t>Vendor consumer manages Kafka commits; vendor application manages business-applied state.</w:t>
            </w:r>
          </w:p>
        </w:tc>
      </w:tr>
      <w:tr>
        <w:tc>
          <w:tcPr>
            <w:tcW w:type="dxa" w:w="3408"/>
          </w:tcPr>
          <w:p>
            <w:r>
              <w:t>7B: Relay API push</w:t>
            </w:r>
          </w:p>
        </w:tc>
        <w:tc>
          <w:tcPr>
            <w:tcW w:type="dxa" w:w="3408"/>
          </w:tcPr>
          <w:p>
            <w:r>
              <w:t>MSK → enterprise consumer/connector → vendor-supported API → vendor intake/target. This is the branch shown in the XML.</w:t>
            </w:r>
          </w:p>
        </w:tc>
        <w:tc>
          <w:tcPr>
            <w:tcW w:type="dxa" w:w="3408"/>
          </w:tcPr>
          <w:p>
            <w:r>
              <w:t>Enterprise owns relay offsets and delivery state; vendor owns target application state.</w:t>
            </w:r>
          </w:p>
        </w:tc>
      </w:tr>
      <w:tr>
        <w:tc>
          <w:tcPr>
            <w:tcW w:type="dxa" w:w="3408"/>
          </w:tcPr>
          <w:p>
            <w:r>
              <w:t>7B alternative: pull API</w:t>
            </w:r>
          </w:p>
        </w:tc>
        <w:tc>
          <w:tcPr>
            <w:tcW w:type="dxa" w:w="3408"/>
          </w:tcPr>
          <w:p>
            <w:r>
              <w:t>Enterprise delivery API backed by durable state; vendor requests records using an agreed cursor. Not shown in the supplied XML.</w:t>
            </w:r>
          </w:p>
        </w:tc>
        <w:tc>
          <w:tcPr>
            <w:tcW w:type="dxa" w:w="3408"/>
          </w:tcPr>
          <w:p>
            <w:r>
              <w:t>Enterprise owns API delivery mechanism/state contract; vendor owns last successfully applied business position.</w:t>
            </w:r>
          </w:p>
        </w:tc>
      </w:tr>
    </w:tbl>
    <w:p>
      <w:r>
        <w:t>A relay is an integration application or compatible connector, not another Kafka broker. A compatible MSK Connect sink or custom service is an implementation option, subject to destination capabilities. HTTP success must not automatically mean target synchronization succeeded.</w:t>
      </w:r>
    </w:p>
    <w:p>
      <w:pPr>
        <w:pStyle w:val="Heading1"/>
      </w:pPr>
      <w:r>
        <w:t>5. Independent delta positions and commit rules</w:t>
      </w:r>
    </w:p>
    <w:tbl>
      <w:tblPr>
        <w:tblStyle w:val="LightShading-Accent1"/>
        <w:tblW w:type="auto" w:w="0"/>
        <w:tblLook w:firstColumn="1" w:firstRow="1" w:lastColumn="0" w:lastRow="0" w:noHBand="0" w:noVBand="1" w:val="04A0"/>
      </w:tblPr>
      <w:tblGrid>
        <w:gridCol w:w="5112"/>
        <w:gridCol w:w="5112"/>
      </w:tblGrid>
      <w:tr>
        <w:tc>
          <w:tcPr>
            <w:tcW w:type="dxa" w:w="5112"/>
          </w:tcPr>
          <w:p>
            <w:r>
              <w:t>Position</w:t>
            </w:r>
          </w:p>
        </w:tc>
        <w:tc>
          <w:tcPr>
            <w:tcW w:type="dxa" w:w="5112"/>
          </w:tcPr>
          <w:p>
            <w:r>
              <w:t>Owner / durable evidence</w:t>
            </w:r>
          </w:p>
        </w:tc>
      </w:tr>
      <w:tr>
        <w:tc>
          <w:tcPr>
            <w:tcW w:type="dxa" w:w="5112"/>
          </w:tcPr>
          <w:p>
            <w:r>
              <w:t>Source captured</w:t>
            </w:r>
          </w:p>
        </w:tc>
        <w:tc>
          <w:tcPr>
            <w:tcW w:type="dxa" w:w="5112"/>
          </w:tcPr>
          <w:p>
            <w:r>
              <w:t>Enterprise connector: source-log position or extraction checkpoint.</w:t>
            </w:r>
          </w:p>
        </w:tc>
      </w:tr>
      <w:tr>
        <w:tc>
          <w:tcPr>
            <w:tcW w:type="dxa" w:w="5112"/>
          </w:tcPr>
          <w:p>
            <w:r>
              <w:t>Published</w:t>
            </w:r>
          </w:p>
        </w:tc>
        <w:tc>
          <w:tcPr>
            <w:tcW w:type="dxa" w:w="5112"/>
          </w:tcPr>
          <w:p>
            <w:r>
              <w:t>Enterprise integration: publication/run ledger and source lineage; topic/partition references where needed.</w:t>
            </w:r>
          </w:p>
        </w:tc>
      </w:tr>
      <w:tr>
        <w:tc>
          <w:tcPr>
            <w:tcW w:type="dxa" w:w="5112"/>
          </w:tcPr>
          <w:p>
            <w:r>
              <w:t>Delivered / accepted</w:t>
            </w:r>
          </w:p>
        </w:tc>
        <w:tc>
          <w:tcPr>
            <w:tcW w:type="dxa" w:w="5112"/>
          </w:tcPr>
          <w:p>
            <w:r>
              <w:t>Direct: vendor group commits and/or inbox. Relay: enterprise delivery checkpoint and vendor durable acceptance evidence.</w:t>
            </w:r>
          </w:p>
        </w:tc>
      </w:tr>
      <w:tr>
        <w:tc>
          <w:tcPr>
            <w:tcW w:type="dxa" w:w="5112"/>
          </w:tcPr>
          <w:p>
            <w:r>
              <w:t>Business applied</w:t>
            </w:r>
          </w:p>
        </w:tc>
        <w:tc>
          <w:tcPr>
            <w:tcW w:type="dxa" w:w="5112"/>
          </w:tcPr>
          <w:p>
            <w:r>
              <w:t>Vendor target transaction and synchronization ledger; separate enterprise ETL applied ledger for inbound changes.</w:t>
            </w:r>
          </w:p>
        </w:tc>
      </w:tr>
    </w:tbl>
    <w:p>
      <w:pPr>
        <w:pStyle w:val="ListBullet"/>
      </w:pPr>
      <w:r>
        <w:t>Use a separate consumer group for each independent application/use case/environment. Replicas of the same application share its group; different applications require independent positions.</w:t>
      </w:r>
    </w:p>
    <w:p>
      <w:pPr>
        <w:pStyle w:val="ListBullet"/>
      </w:pPr>
      <w:r>
        <w:t>Example topic: prod.vendor.cohere.authorizations.delta.v1. Example group: prod.cohere.authorizations.sync.v1. Restrict both topic and group access.</w:t>
      </w:r>
    </w:p>
    <w:p>
      <w:pPr>
        <w:pStyle w:val="ListBullet"/>
      </w:pPr>
      <w:r>
        <w:t>Apply-before-commit: advance offsets after successful target application; slow targets directly increase Kafka backlog.</w:t>
      </w:r>
    </w:p>
    <w:p>
      <w:pPr>
        <w:pStyle w:val="ListBullet"/>
      </w:pPr>
      <w:r>
        <w:t>Inbox-before-commit: advance after durable acceptance; track inbox backlog and applied freshness independently. Low Kafka lag does not prove a current target.</w:t>
      </w:r>
    </w:p>
    <w:p>
      <w:pPr>
        <w:pStyle w:val="ListBullet"/>
      </w:pPr>
      <w:r>
        <w:t>Advance only contiguous safely handled records per partition. Do not commit beyond unfinished work unless it has been durably transferred to an approved recovery mechanism.</w:t>
      </w:r>
    </w:p>
    <w:p>
      <w:pPr>
        <w:pStyle w:val="ListBullet"/>
      </w:pPr>
      <w:r>
        <w:t>Assume at-least-once delivery with idempotent application unless a stronger end-to-end guarantee has actually been implemented and verified. Producer idempotence alone does not provide it.</w:t>
      </w:r>
    </w:p>
    <w:p>
      <w:pPr>
        <w:pStyle w:val="Heading1"/>
      </w:pPr>
      <w:r>
        <w:t>6. Detailed runtime steps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Step / component</w:t>
            </w:r>
          </w:p>
        </w:tc>
        <w:tc>
          <w:tcPr>
            <w:tcW w:type="dxa" w:w="3408"/>
          </w:tcPr>
          <w:p>
            <w:r>
              <w:t>Required action</w:t>
            </w:r>
          </w:p>
        </w:tc>
        <w:tc>
          <w:tcPr>
            <w:tcW w:type="dxa" w:w="3408"/>
          </w:tcPr>
          <w:p>
            <w:r>
              <w:t>Failure / evidence control</w:t>
            </w:r>
          </w:p>
        </w:tc>
      </w:tr>
      <w:tr>
        <w:tc>
          <w:tcPr>
            <w:tcW w:type="dxa" w:w="3408"/>
          </w:tcPr>
          <w:p>
            <w:r>
              <w:t>1. Source application</w:t>
            </w:r>
          </w:p>
        </w:tc>
        <w:tc>
          <w:tcPr>
            <w:tcW w:type="dxa" w:w="3408"/>
          </w:tcPr>
          <w:p>
            <w:r>
              <w:t>Commit authoritative business change with stable entity identity/version.</w:t>
            </w:r>
          </w:p>
        </w:tc>
        <w:tc>
          <w:tcPr>
            <w:tcW w:type="dxa" w:w="3408"/>
          </w:tcPr>
          <w:p>
            <w:r>
              <w:t>Avoid uncontrolled database-plus-Kafka dual writes.</w:t>
            </w:r>
          </w:p>
        </w:tc>
      </w:tr>
      <w:tr>
        <w:tc>
          <w:tcPr>
            <w:tcW w:type="dxa" w:w="3408"/>
          </w:tcPr>
          <w:p>
            <w:r>
              <w:t>2. CDC / outbox</w:t>
            </w:r>
          </w:p>
        </w:tc>
        <w:tc>
          <w:tcPr>
            <w:tcW w:type="dxa" w:w="3408"/>
          </w:tcPr>
          <w:p>
            <w:r>
              <w:t>Capture committed changes and agreed deletes/corrections.</w:t>
            </w:r>
          </w:p>
        </w:tc>
        <w:tc>
          <w:tcPr>
            <w:tcW w:type="dxa" w:w="3408"/>
          </w:tcPr>
          <w:p>
            <w:r>
              <w:t>Persist capture position; monitor source-log continuity and capture lag.</w:t>
            </w:r>
          </w:p>
        </w:tc>
      </w:tr>
      <w:tr>
        <w:tc>
          <w:tcPr>
            <w:tcW w:type="dxa" w:w="3408"/>
          </w:tcPr>
          <w:p>
            <w:r>
              <w:t>3. Event builder</w:t>
            </w:r>
          </w:p>
        </w:tc>
        <w:tc>
          <w:tcPr>
            <w:tcW w:type="dxa" w:w="3408"/>
          </w:tcPr>
          <w:p>
            <w:r>
              <w:t>Normalize, validate and minimize PHI; preserve source lineage.</w:t>
            </w:r>
          </w:p>
        </w:tc>
        <w:tc>
          <w:tcPr>
            <w:tcW w:type="dxa" w:w="3408"/>
          </w:tcPr>
          <w:p>
            <w:r>
              <w:t>Quarantine mapping failures; do not silently drop records.</w:t>
            </w:r>
          </w:p>
        </w:tc>
      </w:tr>
      <w:tr>
        <w:tc>
          <w:tcPr>
            <w:tcW w:type="dxa" w:w="3408"/>
          </w:tcPr>
          <w:p>
            <w:r>
              <w:t>4. Entitlement projection</w:t>
            </w:r>
          </w:p>
        </w:tc>
        <w:tc>
          <w:tcPr>
            <w:tcW w:type="dxa" w:w="3408"/>
          </w:tcPr>
          <w:p>
            <w:r>
              <w:t>Select vendor-authorized entities and fields before external publication.</w:t>
            </w:r>
          </w:p>
        </w:tc>
        <w:tc>
          <w:tcPr>
            <w:tcW w:type="dxa" w:w="3408"/>
          </w:tcPr>
          <w:p>
            <w:r>
              <w:t>Fail closed when entitlement cannot be evaluated.</w:t>
            </w:r>
          </w:p>
        </w:tc>
      </w:tr>
      <w:tr>
        <w:tc>
          <w:tcPr>
            <w:tcW w:type="dxa" w:w="3408"/>
          </w:tcPr>
          <w:p>
            <w:r>
              <w:t>5. Contract validator</w:t>
            </w:r>
          </w:p>
        </w:tc>
        <w:tc>
          <w:tcPr>
            <w:tcW w:type="dxa" w:w="3408"/>
          </w:tcPr>
          <w:p>
            <w:r>
              <w:t>Enforce envelope, schema and business semantics.</w:t>
            </w:r>
          </w:p>
        </w:tc>
        <w:tc>
          <w:tcPr>
            <w:tcW w:type="dxa" w:w="3408"/>
          </w:tcPr>
          <w:p>
            <w:r>
              <w:t>Block incompatible changes; notify contract owner.</w:t>
            </w:r>
          </w:p>
        </w:tc>
      </w:tr>
      <w:tr>
        <w:tc>
          <w:tcPr>
            <w:tcW w:type="dxa" w:w="3408"/>
          </w:tcPr>
          <w:p>
            <w:r>
              <w:t>6. Producer / MSK</w:t>
            </w:r>
          </w:p>
        </w:tc>
        <w:tc>
          <w:tcPr>
            <w:tcW w:type="dxa" w:w="3408"/>
          </w:tcPr>
          <w:p>
            <w:r>
              <w:t>Publish using approved keys, durability and retention.</w:t>
            </w:r>
          </w:p>
        </w:tc>
        <w:tc>
          <w:tcPr>
            <w:tcW w:type="dxa" w:w="3408"/>
          </w:tcPr>
          <w:p>
            <w:r>
              <w:t>Stable event identity, retries, publication ledger and capacity alerts.</w:t>
            </w:r>
          </w:p>
        </w:tc>
      </w:tr>
      <w:tr>
        <w:tc>
          <w:tcPr>
            <w:tcW w:type="dxa" w:w="3408"/>
          </w:tcPr>
          <w:p>
            <w:r>
              <w:t>7. Select delivery path</w:t>
            </w:r>
          </w:p>
        </w:tc>
        <w:tc>
          <w:tcPr>
            <w:tcW w:type="dxa" w:w="3408"/>
          </w:tcPr>
          <w:p>
            <w:r>
              <w:t>Use certified direct Kafka or confirmed relay interface.</w:t>
            </w:r>
          </w:p>
        </w:tc>
        <w:tc>
          <w:tcPr>
            <w:tcW w:type="dxa" w:w="3408"/>
          </w:tcPr>
          <w:p>
            <w:r>
              <w:t>Treat capability selection as onboarding/configuration, not a per-event business decision.</w:t>
            </w:r>
          </w:p>
        </w:tc>
      </w:tr>
      <w:tr>
        <w:tc>
          <w:tcPr>
            <w:tcW w:type="dxa" w:w="3408"/>
          </w:tcPr>
          <w:p>
            <w:r>
              <w:t>8. Connect and resume</w:t>
            </w:r>
          </w:p>
        </w:tc>
        <w:tc>
          <w:tcPr>
            <w:tcW w:type="dxa" w:w="3408"/>
          </w:tcPr>
          <w:p>
            <w:r>
              <w:t>Authenticate workload and resume its own authorized position.</w:t>
            </w:r>
          </w:p>
        </w:tc>
        <w:tc>
          <w:tcPr>
            <w:tcW w:type="dxa" w:w="3408"/>
          </w:tcPr>
          <w:p>
            <w:r>
              <w:t>Explicit missing-offset policy; no silent jump to latest.</w:t>
            </w:r>
          </w:p>
        </w:tc>
      </w:tr>
      <w:tr>
        <w:tc>
          <w:tcPr>
            <w:tcW w:type="dxa" w:w="3408"/>
          </w:tcPr>
          <w:p>
            <w:r>
              <w:t>9. Intake and deduplicate</w:t>
            </w:r>
          </w:p>
        </w:tc>
        <w:tc>
          <w:tcPr>
            <w:tcW w:type="dxa" w:w="3408"/>
          </w:tcPr>
          <w:p>
            <w:r>
              <w:t>Check schema, event ID, entity version and permitted scope on both branches.</w:t>
            </w:r>
          </w:p>
        </w:tc>
        <w:tc>
          <w:tcPr>
            <w:tcW w:type="dxa" w:w="3408"/>
          </w:tcPr>
          <w:p>
            <w:r>
              <w:t>Detect duplicates/stale changes; bounded buffering and quarantine.</w:t>
            </w:r>
          </w:p>
        </w:tc>
      </w:tr>
      <w:tr>
        <w:tc>
          <w:tcPr>
            <w:tcW w:type="dxa" w:w="3408"/>
          </w:tcPr>
          <w:p>
            <w:r>
              <w:t>10. Stage / route</w:t>
            </w:r>
          </w:p>
        </w:tc>
        <w:tc>
          <w:tcPr>
            <w:tcW w:type="dxa" w:w="3408"/>
          </w:tcPr>
          <w:p>
            <w:r>
              <w:t>Persist accepted work and route to target adapter.</w:t>
            </w:r>
          </w:p>
        </w:tc>
        <w:tc>
          <w:tcPr>
            <w:tcW w:type="dxa" w:w="3408"/>
          </w:tcPr>
          <w:p>
            <w:r>
              <w:t>Protect inbox capacity and preserve traceability.</w:t>
            </w:r>
          </w:p>
        </w:tc>
      </w:tr>
      <w:tr>
        <w:tc>
          <w:tcPr>
            <w:tcW w:type="dxa" w:w="3408"/>
          </w:tcPr>
          <w:p>
            <w:r>
              <w:t>11. Transform and apply</w:t>
            </w:r>
          </w:p>
        </w:tc>
        <w:tc>
          <w:tcPr>
            <w:tcW w:type="dxa" w:w="3408"/>
          </w:tcPr>
          <w:p>
            <w:r>
              <w:t>Upsert/delete/correct vendor target using agreed version semantics.</w:t>
            </w:r>
          </w:p>
        </w:tc>
        <w:tc>
          <w:tcPr>
            <w:tcW w:type="dxa" w:w="3408"/>
          </w:tcPr>
          <w:p>
            <w:r>
              <w:t>Idempotent writes; deterministic conflict handling.</w:t>
            </w:r>
          </w:p>
        </w:tc>
      </w:tr>
      <w:tr>
        <w:tc>
          <w:tcPr>
            <w:tcW w:type="dxa" w:w="3408"/>
          </w:tcPr>
          <w:p>
            <w:r>
              <w:t>12. Durable business state</w:t>
            </w:r>
          </w:p>
        </w:tc>
        <w:tc>
          <w:tcPr>
            <w:tcW w:type="dxa" w:w="3408"/>
          </w:tcPr>
          <w:p>
            <w:r>
              <w:t>Record accepted/applied/rejected state and event lineage.</w:t>
            </w:r>
          </w:p>
        </w:tc>
        <w:tc>
          <w:tcPr>
            <w:tcW w:type="dxa" w:w="3408"/>
          </w:tcPr>
          <w:p>
            <w:r>
              <w:t>Differentiate durable receipt from completed application.</w:t>
            </w:r>
          </w:p>
        </w:tc>
      </w:tr>
      <w:tr>
        <w:tc>
          <w:tcPr>
            <w:tcW w:type="dxa" w:w="3408"/>
          </w:tcPr>
          <w:p>
            <w:r>
              <w:t>13. Commit delivery position</w:t>
            </w:r>
          </w:p>
        </w:tc>
        <w:tc>
          <w:tcPr>
            <w:tcW w:type="dxa" w:w="3408"/>
          </w:tcPr>
          <w:p>
            <w:r>
              <w:t>Direct vendor or enterprise relay advances its Kafka checkpoint.</w:t>
            </w:r>
          </w:p>
        </w:tc>
        <w:tc>
          <w:tcPr>
            <w:tcW w:type="dxa" w:w="3408"/>
          </w:tcPr>
          <w:p>
            <w:r>
              <w:t>Commit only after the selected durable success boundary.</w:t>
            </w:r>
          </w:p>
        </w:tc>
      </w:tr>
      <w:tr>
        <w:tc>
          <w:tcPr>
            <w:tcW w:type="dxa" w:w="3408"/>
          </w:tcPr>
          <w:p>
            <w:r>
              <w:t>14. Optional return status</w:t>
            </w:r>
          </w:p>
        </w:tc>
        <w:tc>
          <w:tcPr>
            <w:tcW w:type="dxa" w:w="3408"/>
          </w:tcPr>
          <w:p>
            <w:r>
              <w:t>Return received/applied/rejected/retrying with event correlation.</w:t>
            </w:r>
          </w:p>
        </w:tc>
        <w:tc>
          <w:tcPr>
            <w:tcW w:type="dxa" w:w="3408"/>
          </w:tcPr>
          <w:p>
            <w:r>
              <w:t>Idempotent return path; explicitly agree API versus Kafka publishing.</w:t>
            </w:r>
          </w:p>
        </w:tc>
      </w:tr>
      <w:tr>
        <w:tc>
          <w:tcPr>
            <w:tcW w:type="dxa" w:w="3408"/>
          </w:tcPr>
          <w:p>
            <w:r>
              <w:t>15. Enterprise return intake</w:t>
            </w:r>
          </w:p>
        </w:tc>
        <w:tc>
          <w:tcPr>
            <w:tcW w:type="dxa" w:w="3408"/>
          </w:tcPr>
          <w:p>
            <w:r>
              <w:t>Validate returned status/results; publish internally if appropriate.</w:t>
            </w:r>
          </w:p>
        </w:tc>
        <w:tc>
          <w:tcPr>
            <w:tcW w:type="dxa" w:w="3408"/>
          </w:tcPr>
          <w:p>
            <w:r>
              <w:t>Restricted inbound identity; schema, replay and duplicate controls.</w:t>
            </w:r>
          </w:p>
        </w:tc>
      </w:tr>
      <w:tr>
        <w:tc>
          <w:tcPr>
            <w:tcW w:type="dxa" w:w="3408"/>
          </w:tcPr>
          <w:p>
            <w:r>
              <w:t>16. Enterprise application</w:t>
            </w:r>
          </w:p>
        </w:tc>
        <w:tc>
          <w:tcPr>
            <w:tcW w:type="dxa" w:w="3408"/>
          </w:tcPr>
          <w:p>
            <w:r>
              <w:t>Apply approved status/business changes through inbound ETL or application logic.</w:t>
            </w:r>
          </w:p>
        </w:tc>
        <w:tc>
          <w:tcPr>
            <w:tcW w:type="dxa" w:w="3408"/>
          </w:tcPr>
          <w:p>
            <w:r>
              <w:t>Target-applied checkpoint, authority rules and reconciliation.</w:t>
            </w:r>
          </w:p>
        </w:tc>
      </w:tr>
    </w:tbl>
    <w:p>
      <w:pPr>
        <w:pStyle w:val="Heading1"/>
      </w:pPr>
      <w:r>
        <w:t>7. Event contract, bootstrap and daily publications</w:t>
      </w:r>
    </w:p>
    <w:p>
      <w:r>
        <w:t>Recommended envelope: event_id, event_type, schema_version, entity_id, entity_version, operation, source_system, source_commit_time, published_at, correlation_id, causation_id, optional publication_run_id, and approved payload. These are proposed fields, not a verified Cohere interface.</w:t>
      </w:r>
    </w:p>
    <w:p>
      <w:pPr>
        <w:pStyle w:val="ListBullet"/>
      </w:pPr>
      <w:r>
        <w:t>Define full-state versus partial updates; null/missing-field meaning; deletes, cancellations, reversals and corrections; entity ordering and cross-record consistency.</w:t>
      </w:r>
    </w:p>
    <w:p>
      <w:pPr>
        <w:pStyle w:val="ListBullet"/>
      </w:pPr>
      <w:r>
        <w:t>Define schema compatibility and historical replay behavior. Keep unnecessary PHI out of topic/group names, metric dimensions and diagnostic logs.</w:t>
      </w:r>
    </w:p>
    <w:p>
      <w:pPr>
        <w:pStyle w:val="ListBullet"/>
      </w:pPr>
      <w:r>
        <w:t>Bootstrap: establish a consistent baseline boundary, retain changes during baseline creation, apply snapshot plus subsequent changes without gaps, and reconcile before declaring current.</w:t>
      </w:r>
    </w:p>
    <w:p>
      <w:pPr>
        <w:pStyle w:val="ListBullet"/>
      </w:pPr>
      <w:r>
        <w:t>Daily runs: identify snapshot versus delta, source cutoff, run ID, completion time and completeness evidence. Use partition-aware boundaries; a marker in one partition is not proof that all partitions are complete.</w:t>
      </w:r>
    </w:p>
    <w:p>
      <w:pPr>
        <w:pStyle w:val="ListBullet"/>
      </w:pPr>
      <w:r>
        <w:t>Absence from a snapshot means deletion only if explicitly contracted. Vendor owns its comparison and delta logic.</w:t>
      </w:r>
    </w:p>
    <w:p>
      <w:pPr>
        <w:pStyle w:val="ListBullet"/>
      </w:pPr>
      <w:r>
        <w:t>Timestamps alone can miss equal-time or late changes. Define versions/tie-breakers and a safe replay/overlap strategy where timestamp extraction is used.</w:t>
      </w:r>
    </w:p>
    <w:p>
      <w:pPr>
        <w:pStyle w:val="Heading1"/>
      </w:pPr>
      <w:r>
        <w:t>8. Identity and access management</w:t>
      </w:r>
    </w:p>
    <w:tbl>
      <w:tblPr>
        <w:tblStyle w:val="LightShading-Accent1"/>
        <w:tblW w:type="auto" w:w="0"/>
        <w:tblLook w:firstColumn="1" w:firstRow="1" w:lastColumn="0" w:lastRow="0" w:noHBand="0" w:noVBand="1" w:val="04A0"/>
      </w:tblPr>
      <w:tblGrid>
        <w:gridCol w:w="5112"/>
        <w:gridCol w:w="5112"/>
      </w:tblGrid>
      <w:tr>
        <w:tc>
          <w:tcPr>
            <w:tcW w:type="dxa" w:w="5112"/>
          </w:tcPr>
          <w:p>
            <w:r>
              <w:t>Identity plane</w:t>
            </w:r>
          </w:p>
        </w:tc>
        <w:tc>
          <w:tcPr>
            <w:tcW w:type="dxa" w:w="5112"/>
          </w:tcPr>
          <w:p>
            <w:r>
              <w:t>Design requirement</w:t>
            </w:r>
          </w:p>
        </w:tc>
      </w:tr>
      <w:tr>
        <w:tc>
          <w:tcPr>
            <w:tcW w:type="dxa" w:w="5112"/>
          </w:tcPr>
          <w:p>
            <w:r>
              <w:t>Enterprise humans</w:t>
            </w:r>
          </w:p>
        </w:tc>
        <w:tc>
          <w:tcPr>
            <w:tcW w:type="dxa" w:w="5112"/>
          </w:tcPr>
          <w:p>
            <w:r>
              <w:t>Entra workforce federation, MFA and approved administrative roles for consoles/support tools.</w:t>
            </w:r>
          </w:p>
        </w:tc>
      </w:tr>
      <w:tr>
        <w:tc>
          <w:tcPr>
            <w:tcW w:type="dxa" w:w="5112"/>
          </w:tcPr>
          <w:p>
            <w:r>
              <w:t>Vendor humans</w:t>
            </w:r>
          </w:p>
        </w:tc>
        <w:tc>
          <w:tcPr>
            <w:tcW w:type="dxa" w:w="5112"/>
          </w:tcPr>
          <w:p>
            <w:r>
              <w:t>B2B federation or CIAM as appropriate for onboarding/support portal users; not shared workload accounts.</w:t>
            </w:r>
          </w:p>
        </w:tc>
      </w:tr>
      <w:tr>
        <w:tc>
          <w:tcPr>
            <w:tcW w:type="dxa" w:w="5112"/>
          </w:tcPr>
          <w:p>
            <w:r>
              <w:t>Kafka workloads</w:t>
            </w:r>
          </w:p>
        </w:tc>
        <w:tc>
          <w:tcPr>
            <w:tcW w:type="dxa" w:w="5112"/>
          </w:tcPr>
          <w:p>
            <w:r>
              <w:t>Certify an MSK-supported authentication path for the chosen deployment; candidate IAM, SCRAM or mTLS options are not vendor capability claims.</w:t>
            </w:r>
          </w:p>
        </w:tc>
      </w:tr>
      <w:tr>
        <w:tc>
          <w:tcPr>
            <w:tcW w:type="dxa" w:w="5112"/>
          </w:tcPr>
          <w:p>
            <w:r>
              <w:t>API workloads</w:t>
            </w:r>
          </w:p>
        </w:tc>
        <w:tc>
          <w:tcPr>
            <w:tcW w:type="dxa" w:w="5112"/>
          </w:tcPr>
          <w:p>
            <w:r>
              <w:t>Agree API token and/or mTLS requirements with gateway/vendor interface. Human OIDC login is not a substitute for workload authorization.</w:t>
            </w:r>
          </w:p>
        </w:tc>
      </w:tr>
    </w:tbl>
    <w:p>
      <w:pPr>
        <w:pStyle w:val="ListBullet"/>
      </w:pPr>
      <w:r>
        <w:t>Prefer attributable short-lived workload credentials where supported. Restrict role trust/federation subjects; consider an external ID for applicable third-party role assumption.</w:t>
      </w:r>
    </w:p>
    <w:p>
      <w:pPr>
        <w:pStyle w:val="ListBullet"/>
      </w:pPr>
      <w:r>
        <w:t>Scope Kafka access to cluster connection, approved topic read/describe, and the approved group. No topic administration, raw CDC access or other vendor namespaces.</w:t>
      </w:r>
    </w:p>
    <w:p>
      <w:pPr>
        <w:pStyle w:val="ListBullet"/>
      </w:pPr>
      <w:r>
        <w:t>Use separate narrowly scoped identities/permissions for return writes, schema access and management APIs.</w:t>
      </w:r>
    </w:p>
    <w:p>
      <w:pPr>
        <w:pStyle w:val="ListBullet"/>
      </w:pPr>
      <w:r>
        <w:t>Separate production/nonproduction; automate rotation and expiry monitoring; test revocation, renewal, and containment of active workloads.</w:t>
      </w:r>
    </w:p>
    <w:p>
      <w:pPr>
        <w:pStyle w:val="ListBullet"/>
      </w:pPr>
      <w:r>
        <w:t>Private access requires network, DNS, routing, security group and authentication configuration. Validate managed multi-VPC compatibility and Region constraints for the selected deployment.</w:t>
      </w:r>
    </w:p>
    <w:p>
      <w:pPr>
        <w:pStyle w:val="Heading1"/>
      </w:pPr>
      <w:r>
        <w:t>9. Configuration inventory</w:t>
      </w:r>
    </w:p>
    <w:tbl>
      <w:tblPr>
        <w:tblStyle w:val="LightShading-Accent1"/>
        <w:tblW w:type="auto" w:w="0"/>
        <w:tblLook w:firstColumn="1" w:firstRow="1" w:lastColumn="0" w:lastRow="0" w:noHBand="0" w:noVBand="1" w:val="04A0"/>
      </w:tblPr>
      <w:tblGrid>
        <w:gridCol w:w="5112"/>
        <w:gridCol w:w="5112"/>
      </w:tblGrid>
      <w:tr>
        <w:tc>
          <w:tcPr>
            <w:tcW w:type="dxa" w:w="5112"/>
          </w:tcPr>
          <w:p>
            <w:r>
              <w:t>System</w:t>
            </w:r>
          </w:p>
        </w:tc>
        <w:tc>
          <w:tcPr>
            <w:tcW w:type="dxa" w:w="5112"/>
          </w:tcPr>
          <w:p>
            <w:r>
              <w:t>Required configuration / process</w:t>
            </w:r>
          </w:p>
        </w:tc>
      </w:tr>
      <w:tr>
        <w:tc>
          <w:tcPr>
            <w:tcW w:type="dxa" w:w="5112"/>
          </w:tcPr>
          <w:p>
            <w:r>
              <w:t>MSK deployment</w:t>
            </w:r>
          </w:p>
        </w:tc>
        <w:tc>
          <w:tcPr>
            <w:tcW w:type="dxa" w:w="5112"/>
          </w:tcPr>
          <w:p>
            <w:r>
              <w:t>Region, broker type/version, AZ topology, capacity, partitions and recovery headroom. Validate platform-specific supported settings.</w:t>
            </w:r>
          </w:p>
        </w:tc>
      </w:tr>
      <w:tr>
        <w:tc>
          <w:tcPr>
            <w:tcW w:type="dxa" w:w="5112"/>
          </w:tcPr>
          <w:p>
            <w:r>
              <w:t>Topic durability</w:t>
            </w:r>
          </w:p>
        </w:tc>
        <w:tc>
          <w:tcPr>
            <w:tcW w:type="dxa" w:w="5112"/>
          </w:tcPr>
          <w:p>
            <w:r>
              <w:t>Proposed three-AZ baseline: RF 3, min.insync.replicas 2; producer acks=all and reviewed idempotence/retry settings. Test before adoption.</w:t>
            </w:r>
          </w:p>
        </w:tc>
      </w:tr>
      <w:tr>
        <w:tc>
          <w:tcPr>
            <w:tcW w:type="dxa" w:w="5112"/>
          </w:tcPr>
          <w:p>
            <w:r>
              <w:t>Topic lifecycle</w:t>
            </w:r>
          </w:p>
        </w:tc>
        <w:tc>
          <w:tcPr>
            <w:tcW w:type="dxa" w:w="5112"/>
          </w:tcPr>
          <w:p>
            <w:r>
              <w:t>Explicit topic provisioning; owner/schema; deletion versus compaction semantics; time and size retention; approved replay window.</w:t>
            </w:r>
          </w:p>
        </w:tc>
      </w:tr>
      <w:tr>
        <w:tc>
          <w:tcPr>
            <w:tcW w:type="dxa" w:w="5112"/>
          </w:tcPr>
          <w:p>
            <w:r>
              <w:t>Offset lifecycle</w:t>
            </w:r>
          </w:p>
        </w:tc>
        <w:tc>
          <w:tcPr>
            <w:tcW w:type="dxa" w:w="5112"/>
          </w:tcPr>
          <w:p>
            <w:r>
              <w:t>Inactive group offset retention consistent with scheduled vendors. Topic retention and group-offset retention are separate.</w:t>
            </w:r>
          </w:p>
        </w:tc>
      </w:tr>
      <w:tr>
        <w:tc>
          <w:tcPr>
            <w:tcW w:type="dxa" w:w="5112"/>
          </w:tcPr>
          <w:p>
            <w:r>
              <w:t>MSK security</w:t>
            </w:r>
          </w:p>
        </w:tc>
        <w:tc>
          <w:tcPr>
            <w:tcW w:type="dxa" w:w="5112"/>
          </w:tcPr>
          <w:p>
            <w:r>
              <w:t>Encryption, authenticated clients, cluster policy, workload permissions, private access, no unauthorized administration.</w:t>
            </w:r>
          </w:p>
        </w:tc>
      </w:tr>
      <w:tr>
        <w:tc>
          <w:tcPr>
            <w:tcW w:type="dxa" w:w="5112"/>
          </w:tcPr>
          <w:p>
            <w:r>
              <w:t>Tenant protection</w:t>
            </w:r>
          </w:p>
        </w:tc>
        <w:tc>
          <w:tcPr>
            <w:tcW w:type="dxa" w:w="5112"/>
          </w:tcPr>
          <w:p>
            <w:r>
              <w:t>Connection/request/throughput budgets, capacity limits and noisy-neighbor controls supported by the chosen offering.</w:t>
            </w:r>
          </w:p>
        </w:tc>
      </w:tr>
      <w:tr>
        <w:tc>
          <w:tcPr>
            <w:tcW w:type="dxa" w:w="5112"/>
          </w:tcPr>
          <w:p>
            <w:r>
              <w:t>Source / CDC</w:t>
            </w:r>
          </w:p>
        </w:tc>
        <w:tc>
          <w:tcPr>
            <w:tcW w:type="dxa" w:w="5112"/>
          </w:tcPr>
          <w:p>
            <w:r>
              <w:t>Logging prerequisites, least-privilege account, included tables/columns, snapshot strategy, log retention, capture checkpoints and alerts.</w:t>
            </w:r>
          </w:p>
        </w:tc>
      </w:tr>
      <w:tr>
        <w:tc>
          <w:tcPr>
            <w:tcW w:type="dxa" w:w="5112"/>
          </w:tcPr>
          <w:p>
            <w:r>
              <w:t>Integration runtime</w:t>
            </w:r>
          </w:p>
        </w:tc>
        <w:tc>
          <w:tcPr>
            <w:tcW w:type="dxa" w:w="5112"/>
          </w:tcPr>
          <w:p>
            <w:r>
              <w:t>Mappings, entitlement projection, schema validation, event identity/version, bounded retries, quarantine and publication completeness.</w:t>
            </w:r>
          </w:p>
        </w:tc>
      </w:tr>
      <w:tr>
        <w:tc>
          <w:tcPr>
            <w:tcW w:type="dxa" w:w="5112"/>
          </w:tcPr>
          <w:p>
            <w:r>
              <w:t>Schema services</w:t>
            </w:r>
          </w:p>
        </w:tc>
        <w:tc>
          <w:tcPr>
            <w:tcW w:type="dxa" w:w="5112"/>
          </w:tcPr>
          <w:p>
            <w:r>
              <w:t>Compatibility/approval policy; authorized vendor schema distribution; replay compatibility.</w:t>
            </w:r>
          </w:p>
        </w:tc>
      </w:tr>
      <w:tr>
        <w:tc>
          <w:tcPr>
            <w:tcW w:type="dxa" w:w="5112"/>
          </w:tcPr>
          <w:p>
            <w:r>
              <w:t>Relay / API</w:t>
            </w:r>
          </w:p>
        </w:tc>
        <w:tc>
          <w:tcPr>
            <w:tcW w:type="dxa" w:w="5112"/>
          </w:tcPr>
          <w:p>
            <w:r>
              <w:t>Destination contract, authentication, delivery state, durable acceptance semantics, throttling, retries, timeouts and idempotency.</w:t>
            </w:r>
          </w:p>
        </w:tc>
      </w:tr>
      <w:tr>
        <w:tc>
          <w:tcPr>
            <w:tcW w:type="dxa" w:w="5112"/>
          </w:tcPr>
          <w:p>
            <w:r>
              <w:t>Vendor consumer</w:t>
            </w:r>
          </w:p>
        </w:tc>
        <w:tc>
          <w:tcPr>
            <w:tcW w:type="dxa" w:w="5112"/>
          </w:tcPr>
          <w:p>
            <w:r>
              <w:t>Stable group, explicit commit policy, explicit missing-offset response, poll/fetch limits, concurrency, rebalance handling and safe shutdown.</w:t>
            </w:r>
          </w:p>
        </w:tc>
      </w:tr>
      <w:tr>
        <w:tc>
          <w:tcPr>
            <w:tcW w:type="dxa" w:w="5112"/>
          </w:tcPr>
          <w:p>
            <w:r>
              <w:t>Vendor targets</w:t>
            </w:r>
          </w:p>
        </w:tc>
        <w:tc>
          <w:tcPr>
            <w:tcW w:type="dxa" w:w="5112"/>
          </w:tcPr>
          <w:p>
            <w:r>
              <w:t>Durable inbox where required, deduplication ledger, version checks, upsert/delete rules and applied checkpoint.</w:t>
            </w:r>
          </w:p>
        </w:tc>
      </w:tr>
      <w:tr>
        <w:tc>
          <w:tcPr>
            <w:tcW w:type="dxa" w:w="5112"/>
          </w:tcPr>
          <w:p>
            <w:r>
              <w:t>Enterprise inbound ETL</w:t>
            </w:r>
          </w:p>
        </w:tc>
        <w:tc>
          <w:tcPr>
            <w:tcW w:type="dxa" w:w="5112"/>
          </w:tcPr>
          <w:p>
            <w:r>
              <w:t>Extract → staging/inbound topic → validate/transform → deduplicate/conflict checks → target merge → applied checkpoint.</w:t>
            </w:r>
          </w:p>
        </w:tc>
      </w:tr>
      <w:tr>
        <w:tc>
          <w:tcPr>
            <w:tcW w:type="dxa" w:w="5112"/>
          </w:tcPr>
          <w:p>
            <w:r>
              <w:t>Operations</w:t>
            </w:r>
          </w:p>
        </w:tc>
        <w:tc>
          <w:tcPr>
            <w:tcW w:type="dxa" w:w="5112"/>
          </w:tcPr>
          <w:p>
            <w:r>
              <w:t>Infrastructure as code, change approvals, dashboards, PHI-safe logs, secrets lifecycle, incident runbooks, replay authorization and certification.</w:t>
            </w:r>
          </w:p>
        </w:tc>
      </w:tr>
    </w:tbl>
    <w:p>
      <w:pPr>
        <w:pStyle w:val="Heading1"/>
      </w:pPr>
      <w:r>
        <w:t>10. Failure, recovery and reconciliation controls</w:t>
      </w:r>
    </w:p>
    <w:tbl>
      <w:tblPr>
        <w:tblStyle w:val="LightShading-Accent1"/>
        <w:tblW w:type="auto" w:w="0"/>
        <w:tblLook w:firstColumn="1" w:firstRow="1" w:lastColumn="0" w:lastRow="0" w:noHBand="0" w:noVBand="1" w:val="04A0"/>
      </w:tblPr>
      <w:tblGrid>
        <w:gridCol w:w="5112"/>
        <w:gridCol w:w="5112"/>
      </w:tblGrid>
      <w:tr>
        <w:tc>
          <w:tcPr>
            <w:tcW w:type="dxa" w:w="5112"/>
          </w:tcPr>
          <w:p>
            <w:r>
              <w:t>Failure</w:t>
            </w:r>
          </w:p>
        </w:tc>
        <w:tc>
          <w:tcPr>
            <w:tcW w:type="dxa" w:w="5112"/>
          </w:tcPr>
          <w:p>
            <w:r>
              <w:t>Required response / owner</w:t>
            </w:r>
          </w:p>
        </w:tc>
      </w:tr>
      <w:tr>
        <w:tc>
          <w:tcPr>
            <w:tcW w:type="dxa" w:w="5112"/>
          </w:tcPr>
          <w:p>
            <w:r>
              <w:t>CDC outage or lost source-log history</w:t>
            </w:r>
          </w:p>
        </w:tc>
        <w:tc>
          <w:tcPr>
            <w:tcW w:type="dxa" w:w="5112"/>
          </w:tcPr>
          <w:p>
            <w:r>
              <w:t>Enterprise alerts and resumes from capture position; rebaseline if continuity cannot be established.</w:t>
            </w:r>
          </w:p>
        </w:tc>
      </w:tr>
      <w:tr>
        <w:tc>
          <w:tcPr>
            <w:tcW w:type="dxa" w:w="5112"/>
          </w:tcPr>
          <w:p>
            <w:r>
              <w:t>Publication outage</w:t>
            </w:r>
          </w:p>
        </w:tc>
        <w:tc>
          <w:tcPr>
            <w:tcW w:type="dxa" w:w="5112"/>
          </w:tcPr>
          <w:p>
            <w:r>
              <w:t>Enterprise retries with stable event identity and reconciles unpublished source changes.</w:t>
            </w:r>
          </w:p>
        </w:tc>
      </w:tr>
      <w:tr>
        <w:tc>
          <w:tcPr>
            <w:tcW w:type="dxa" w:w="5112"/>
          </w:tcPr>
          <w:p>
            <w:r>
              <w:t>Vendor offline</w:t>
            </w:r>
          </w:p>
        </w:tc>
        <w:tc>
          <w:tcPr>
            <w:tcW w:type="dxa" w:w="5112"/>
          </w:tcPr>
          <w:p>
            <w:r>
              <w:t>Vendor catches up within retention. Detect risk before history expires.</w:t>
            </w:r>
          </w:p>
        </w:tc>
      </w:tr>
      <w:tr>
        <w:tc>
          <w:tcPr>
            <w:tcW w:type="dxa" w:w="5112"/>
          </w:tcPr>
          <w:p>
            <w:r>
              <w:t>Crash after target commit, before Kafka commit</w:t>
            </w:r>
          </w:p>
        </w:tc>
        <w:tc>
          <w:tcPr>
            <w:tcW w:type="dxa" w:w="5112"/>
          </w:tcPr>
          <w:p>
            <w:r>
              <w:t>Vendor replays safely using idempotent application/deduplication.</w:t>
            </w:r>
          </w:p>
        </w:tc>
      </w:tr>
      <w:tr>
        <w:tc>
          <w:tcPr>
            <w:tcW w:type="dxa" w:w="5112"/>
          </w:tcPr>
          <w:p>
            <w:r>
              <w:t>Premature commit</w:t>
            </w:r>
          </w:p>
        </w:tc>
        <w:tc>
          <w:tcPr>
            <w:tcW w:type="dxa" w:w="5112"/>
          </w:tcPr>
          <w:p>
            <w:r>
              <w:t>Correctness defect: repair using durable evidence or authorized replay.</w:t>
            </w:r>
          </w:p>
        </w:tc>
      </w:tr>
      <w:tr>
        <w:tc>
          <w:tcPr>
            <w:tcW w:type="dxa" w:w="5112"/>
          </w:tcPr>
          <w:p>
            <w:r>
              <w:t>Slow target / full inbox</w:t>
            </w:r>
          </w:p>
        </w:tc>
        <w:tc>
          <w:tcPr>
            <w:tcW w:type="dxa" w:w="5112"/>
          </w:tcPr>
          <w:p>
            <w:r>
              <w:t>Vendor backpressure, bounded storage and applied-backlog alerts.</w:t>
            </w:r>
          </w:p>
        </w:tc>
      </w:tr>
      <w:tr>
        <w:tc>
          <w:tcPr>
            <w:tcW w:type="dxa" w:w="5112"/>
          </w:tcPr>
          <w:p>
            <w:r>
              <w:t>Poison or incompatible event</w:t>
            </w:r>
          </w:p>
        </w:tc>
        <w:tc>
          <w:tcPr>
            <w:tcW w:type="dxa" w:w="5112"/>
          </w:tcPr>
          <w:p>
            <w:r>
              <w:t>Pause or durably quarantine under the agreed ordering/clinical policy; assign owner and remediation deadline.</w:t>
            </w:r>
          </w:p>
        </w:tc>
      </w:tr>
      <w:tr>
        <w:tc>
          <w:tcPr>
            <w:tcW w:type="dxa" w:w="5112"/>
          </w:tcPr>
          <w:p>
            <w:r>
              <w:t>Rebalance / parallel processing</w:t>
            </w:r>
          </w:p>
        </w:tc>
        <w:tc>
          <w:tcPr>
            <w:tcW w:type="dxa" w:w="5112"/>
          </w:tcPr>
          <w:p>
            <w:r>
              <w:t>Prevent stale commits and preserve contiguous progress and required ordering.</w:t>
            </w:r>
          </w:p>
        </w:tc>
      </w:tr>
      <w:tr>
        <w:tc>
          <w:tcPr>
            <w:tcW w:type="dxa" w:w="5112"/>
          </w:tcPr>
          <w:p>
            <w:r>
              <w:t>Expired data or group offsets</w:t>
            </w:r>
          </w:p>
        </w:tc>
        <w:tc>
          <w:tcPr>
            <w:tcW w:type="dxa" w:w="5112"/>
          </w:tcPr>
          <w:p>
            <w:r>
              <w:t>No silent skipping; controlled repair extract, position recovery or rebaseline.</w:t>
            </w:r>
          </w:p>
        </w:tc>
      </w:tr>
      <w:tr>
        <w:tc>
          <w:tcPr>
            <w:tcW w:type="dxa" w:w="5112"/>
          </w:tcPr>
          <w:p>
            <w:r>
              <w:t>Unauthorized access / credential compromise</w:t>
            </w:r>
          </w:p>
        </w:tc>
        <w:tc>
          <w:tcPr>
            <w:tcW w:type="dxa" w:w="5112"/>
          </w:tcPr>
          <w:p>
            <w:r>
              <w:t>Deny and investigate; revoke permissions/credentials/network access and address active sessions as applicable.</w:t>
            </w:r>
          </w:p>
        </w:tc>
      </w:tr>
      <w:tr>
        <w:tc>
          <w:tcPr>
            <w:tcW w:type="dxa" w:w="5112"/>
          </w:tcPr>
          <w:p>
            <w:r>
              <w:t>Bidirectional echo / conflicting update</w:t>
            </w:r>
          </w:p>
        </w:tc>
        <w:tc>
          <w:tcPr>
            <w:tcW w:type="dxa" w:w="5112"/>
          </w:tcPr>
          <w:p>
            <w:r>
              <w:t>Apply source-of-truth, origin, causation and business-version rules.</w:t>
            </w:r>
          </w:p>
        </w:tc>
      </w:tr>
      <w:tr>
        <w:tc>
          <w:tcPr>
            <w:tcW w:type="dxa" w:w="5112"/>
          </w:tcPr>
          <w:p>
            <w:r>
              <w:t>Platform / regional outage</w:t>
            </w:r>
          </w:p>
        </w:tc>
        <w:tc>
          <w:tcPr>
            <w:tcW w:type="dxa" w:w="5112"/>
          </w:tcPr>
          <w:p>
            <w:r>
              <w:t>Execute tested recovery plan; reconcile positions and duplicates before declaring service restored.</w:t>
            </w:r>
          </w:p>
        </w:tc>
      </w:tr>
    </w:tbl>
    <w:p>
      <w:r>
        <w:t>Quarantine is unresolved work, not successful synchronization. Preserve event identity and restricted evidence, remediation ownership, resolution deadline, replay audit and rules for subsequent events on the same entity. Recovery capacity must exceed new-event arrival rate to clear backlog.</w:t>
      </w:r>
    </w:p>
    <w:p>
      <w:pPr>
        <w:pStyle w:val="Heading1"/>
      </w:pPr>
      <w:r>
        <w:t>11. Pros and cons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Option</w:t>
            </w:r>
          </w:p>
        </w:tc>
        <w:tc>
          <w:tcPr>
            <w:tcW w:type="dxa" w:w="3408"/>
          </w:tcPr>
          <w:p>
            <w:r>
              <w:t>Advantages</w:t>
            </w:r>
          </w:p>
        </w:tc>
        <w:tc>
          <w:tcPr>
            <w:tcW w:type="dxa" w:w="3408"/>
          </w:tcPr>
          <w:p>
            <w:r>
              <w:t>Costs / limitations</w:t>
            </w:r>
          </w:p>
        </w:tc>
      </w:tr>
      <w:tr>
        <w:tc>
          <w:tcPr>
            <w:tcW w:type="dxa" w:w="3408"/>
          </w:tcPr>
          <w:p>
            <w:r>
              <w:t>Direct Kafka</w:t>
            </w:r>
          </w:p>
        </w:tc>
        <w:tc>
          <w:tcPr>
            <w:tcW w:type="dxa" w:w="3408"/>
          </w:tcPr>
          <w:p>
            <w:r>
              <w:t>Vendor-controlled consumption; fewer enterprise delivery applications; replay from independent positions.</w:t>
            </w:r>
          </w:p>
        </w:tc>
        <w:tc>
          <w:tcPr>
            <w:tcW w:type="dxa" w:w="3408"/>
          </w:tcPr>
          <w:p>
            <w:r>
              <w:t>Vendor Kafka/network expertise required; strict topic/group isolation; vendor business freshness still needs evidence.</w:t>
            </w:r>
          </w:p>
        </w:tc>
      </w:tr>
      <w:tr>
        <w:tc>
          <w:tcPr>
            <w:tcW w:type="dxa" w:w="3408"/>
          </w:tcPr>
          <w:p>
            <w:r>
              <w:t>Managed relay</w:t>
            </w:r>
          </w:p>
        </w:tc>
        <w:tc>
          <w:tcPr>
            <w:tcW w:type="dxa" w:w="3408"/>
          </w:tcPr>
          <w:p>
            <w:r>
              <w:t>Supports vendors without Kafka; enterprise controls external API boundary, translation and delivery telemetry.</w:t>
            </w:r>
          </w:p>
        </w:tc>
        <w:tc>
          <w:tcPr>
            <w:tcW w:type="dxa" w:w="3408"/>
          </w:tcPr>
          <w:p>
            <w:r>
              <w:t>Additional service/state to operate; API throttling and retries; acceptance is not target application.</w:t>
            </w:r>
          </w:p>
        </w:tc>
      </w:tr>
      <w:tr>
        <w:tc>
          <w:tcPr>
            <w:tcW w:type="dxa" w:w="3408"/>
          </w:tcPr>
          <w:p>
            <w:r>
              <w:t>Daily publication</w:t>
            </w:r>
          </w:p>
        </w:tc>
        <w:tc>
          <w:tcPr>
            <w:tcW w:type="dxa" w:w="3408"/>
          </w:tcPr>
          <w:p>
            <w:r>
              <w:t>Simple enterprise publication ownership; vendor owns comparisons and processing schedule.</w:t>
            </w:r>
          </w:p>
        </w:tc>
        <w:tc>
          <w:tcPr>
            <w:tcW w:type="dxa" w:w="3408"/>
          </w:tcPr>
          <w:p>
            <w:r>
              <w:t>Less timely; completeness manifests and missed-run recovery needed; snapshots can be costly.</w:t>
            </w:r>
          </w:p>
        </w:tc>
      </w:tr>
      <w:tr>
        <w:tc>
          <w:tcPr>
            <w:tcW w:type="dxa" w:w="3408"/>
          </w:tcPr>
          <w:p>
            <w:r>
              <w:t>Overall event model</w:t>
            </w:r>
          </w:p>
        </w:tc>
        <w:tc>
          <w:tcPr>
            <w:tcW w:type="dxa" w:w="3408"/>
          </w:tcPr>
          <w:p>
            <w:r>
              <w:t>Decoupled readiness, independent consumers and retained history.</w:t>
            </w:r>
          </w:p>
        </w:tc>
        <w:tc>
          <w:tcPr>
            <w:tcW w:type="dxa" w:w="3408"/>
          </w:tcPr>
          <w:p>
            <w:r>
              <w:t>Eventual consistency; finite retention; duplicate/delete/order/schema handling and growing multi-vendor governance burden.</w:t>
            </w:r>
          </w:p>
        </w:tc>
      </w:tr>
    </w:tbl>
    <w:p>
      <w:pPr>
        <w:pStyle w:val="Heading1"/>
      </w:pPr>
      <w:r>
        <w:t>12. SLA / SLO boundaries</w:t>
      </w:r>
    </w:p>
    <w:p>
      <w:r>
        <w:t>Measure source commit (T0), topic availability (T1), vendor durable acceptance (T2), vendor target application (T3), and return acknowledgment receipt (T4). Publication latency = T1–T0; delivery = T2–T1; vendor processing = T3–T2; end-to-end = T3–T0. Agree clock handling and evidence. Enterprise cannot infer T3 solely from Kafka commits.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Measure</w:t>
            </w:r>
          </w:p>
        </w:tc>
        <w:tc>
          <w:tcPr>
            <w:tcW w:type="dxa" w:w="3408"/>
          </w:tcPr>
          <w:p>
            <w:r>
              <w:t>Illustrative starting objective</w:t>
            </w:r>
          </w:p>
        </w:tc>
        <w:tc>
          <w:tcPr>
            <w:tcW w:type="dxa" w:w="3408"/>
          </w:tcPr>
          <w:p>
            <w:r>
              <w:t>Owner / qualification</w:t>
            </w:r>
          </w:p>
        </w:tc>
      </w:tr>
      <w:tr>
        <w:tc>
          <w:tcPr>
            <w:tcW w:type="dxa" w:w="3408"/>
          </w:tcPr>
          <w:p>
            <w:r>
              <w:t>Delivery-path availability</w:t>
            </w:r>
          </w:p>
        </w:tc>
        <w:tc>
          <w:tcPr>
            <w:tcW w:type="dxa" w:w="3408"/>
          </w:tcPr>
          <w:p>
            <w:r>
              <w:t>99.9% per calendar month</w:t>
            </w:r>
          </w:p>
        </w:tc>
        <w:tc>
          <w:tcPr>
            <w:tcW w:type="dxa" w:w="3408"/>
          </w:tcPr>
          <w:p>
            <w:r>
              <w:t>Enterprise-defined boundary, exclusions and measurement; not an AWS SLA quotation.</w:t>
            </w:r>
          </w:p>
        </w:tc>
      </w:tr>
      <w:tr>
        <w:tc>
          <w:tcPr>
            <w:tcW w:type="dxa" w:w="3408"/>
          </w:tcPr>
          <w:p>
            <w:r>
              <w:t>Streaming publication freshness</w:t>
            </w:r>
          </w:p>
        </w:tc>
        <w:tc>
          <w:tcPr>
            <w:tcW w:type="dxa" w:w="3408"/>
          </w:tcPr>
          <w:p>
            <w:r>
              <w:t>95% within 5 minutes; 99% within 15 minutes</w:t>
            </w:r>
          </w:p>
        </w:tc>
        <w:tc>
          <w:tcPr>
            <w:tcW w:type="dxa" w:w="3408"/>
          </w:tcPr>
          <w:p>
            <w:r>
              <w:t>Enterprise source/integration/platform; benchmark before commitment.</w:t>
            </w:r>
          </w:p>
        </w:tc>
      </w:tr>
      <w:tr>
        <w:tc>
          <w:tcPr>
            <w:tcW w:type="dxa" w:w="3408"/>
          </w:tcPr>
          <w:p>
            <w:r>
              <w:t>Daily publication</w:t>
            </w:r>
          </w:p>
        </w:tc>
        <w:tc>
          <w:tcPr>
            <w:tcW w:type="dxa" w:w="3408"/>
          </w:tcPr>
          <w:p>
            <w:r>
              <w:t>Complete by agreed cutoff with manifest</w:t>
            </w:r>
          </w:p>
        </w:tc>
        <w:tc>
          <w:tcPr>
            <w:tcW w:type="dxa" w:w="3408"/>
          </w:tcPr>
          <w:p>
            <w:r>
              <w:t>Enterprise; use instead of continuous freshness for daily-only feeds.</w:t>
            </w:r>
          </w:p>
        </w:tc>
      </w:tr>
      <w:tr>
        <w:tc>
          <w:tcPr>
            <w:tcW w:type="dxa" w:w="3408"/>
          </w:tcPr>
          <w:p>
            <w:r>
              <w:t>Replay window</w:t>
            </w:r>
          </w:p>
        </w:tc>
        <w:tc>
          <w:tcPr>
            <w:tcW w:type="dxa" w:w="3408"/>
          </w:tcPr>
          <w:p>
            <w:r>
              <w:t>Proposed 14 days</w:t>
            </w:r>
          </w:p>
        </w:tc>
        <w:tc>
          <w:tcPr>
            <w:tcW w:type="dxa" w:w="3408"/>
          </w:tcPr>
          <w:p>
            <w:r>
              <w:t>Subject to privacy approval, time/size retention, capacity and offset policy.</w:t>
            </w:r>
          </w:p>
        </w:tc>
      </w:tr>
      <w:tr>
        <w:tc>
          <w:tcPr>
            <w:tcW w:type="dxa" w:w="3408"/>
          </w:tcPr>
          <w:p>
            <w:r>
              <w:t>Vendor application freshness</w:t>
            </w:r>
          </w:p>
        </w:tc>
        <w:tc>
          <w:tcPr>
            <w:tcW w:type="dxa" w:w="3408"/>
          </w:tcPr>
          <w:p>
            <w:r>
              <w:t>Negotiated after publication</w:t>
            </w:r>
          </w:p>
        </w:tc>
        <w:tc>
          <w:tcPr>
            <w:tcW w:type="dxa" w:w="3408"/>
          </w:tcPr>
          <w:p>
            <w:r>
              <w:t>Vendor; joint reporting needs business-applied evidence.</w:t>
            </w:r>
          </w:p>
        </w:tc>
      </w:tr>
      <w:tr>
        <w:tc>
          <w:tcPr>
            <w:tcW w:type="dxa" w:w="3408"/>
          </w:tcPr>
          <w:p>
            <w:r>
              <w:t>Critical incident acknowledgment</w:t>
            </w:r>
          </w:p>
        </w:tc>
        <w:tc>
          <w:tcPr>
            <w:tcW w:type="dxa" w:w="3408"/>
          </w:tcPr>
          <w:p>
            <w:r>
              <w:t>Proposed 15 minutes for 24×7 tier</w:t>
            </w:r>
          </w:p>
        </w:tc>
        <w:tc>
          <w:tcPr>
            <w:tcW w:type="dxa" w:w="3408"/>
          </w:tcPr>
          <w:p>
            <w:r>
              <w:t>Separate from restoration time; requires staffed coverage.</w:t>
            </w:r>
          </w:p>
        </w:tc>
      </w:tr>
      <w:tr>
        <w:tc>
          <w:tcPr>
            <w:tcW w:type="dxa" w:w="3408"/>
          </w:tcPr>
          <w:p>
            <w:r>
              <w:t>RTO / RPO</w:t>
            </w:r>
          </w:p>
        </w:tc>
        <w:tc>
          <w:tcPr>
            <w:tcW w:type="dxa" w:w="3408"/>
          </w:tcPr>
          <w:p>
            <w:r>
              <w:t>Set only after recovery tests</w:t>
            </w:r>
          </w:p>
        </w:tc>
        <w:tc>
          <w:tcPr>
            <w:tcW w:type="dxa" w:w="3408"/>
          </w:tcPr>
          <w:p>
            <w:r>
              <w:t>Each party owns its boundary; no zero-loss assumption.</w:t>
            </w:r>
          </w:p>
        </w:tc>
      </w:tr>
    </w:tbl>
    <w:p>
      <w:pPr>
        <w:pStyle w:val="ListBullet"/>
      </w:pPr>
      <w:r>
        <w:t>Specify measurement denominator, support hours, maintenance, invalid-source handling, vendor/network dependencies, volume envelope and remedies.</w:t>
      </w:r>
    </w:p>
    <w:p>
      <w:pPr>
        <w:pStyle w:val="ListBullet"/>
      </w:pPr>
      <w:r>
        <w:t>Recovery window must cover maximum vendor outage + detection + repair + catch-up + safety margin, while complying with approved PHI retention.</w:t>
      </w:r>
    </w:p>
    <w:p>
      <w:pPr>
        <w:pStyle w:val="ListBullet"/>
      </w:pPr>
      <w:r>
        <w:t>AWS upstream service terms are not automatically the enterprise customer-facing SLA. Confirm current terms independently.</w:t>
      </w:r>
    </w:p>
    <w:p>
      <w:pPr>
        <w:pStyle w:val="ListBullet"/>
      </w:pPr>
      <w:r>
        <w:t>Without agreed vendor acknowledgments, commit to publication/recovery—not verified end-to-end synchronization.</w:t>
      </w:r>
    </w:p>
    <w:p>
      <w:pPr>
        <w:pStyle w:val="Heading1"/>
      </w:pPr>
      <w:r>
        <w:t>13. Vendor security admission requirements</w:t>
      </w:r>
    </w:p>
    <w:p>
      <w:pPr>
        <w:pStyle w:val="ListBullet"/>
      </w:pPr>
      <w:r>
        <w:t>Legal/privacy: determine the vendor role; obtain a BAA where required; approve purpose, data scope, subprocessors, locations, retention and return/deletion. Legal review determines applicable duties.</w:t>
      </w:r>
    </w:p>
    <w:p>
      <w:pPr>
        <w:pStyle w:val="ListBullet"/>
      </w:pPr>
      <w:r>
        <w:t>Data use: prohibit unapproved secondary use, including model training; do not infer that an AI workflow is contracted.</w:t>
      </w:r>
    </w:p>
    <w:p>
      <w:pPr>
        <w:pStyle w:val="ListBullet"/>
      </w:pPr>
      <w:r>
        <w:t>Workload security: dedicated identities, no shared embedded credentials, encryption, secret/certificate lifecycle, least privilege and environment isolation.</w:t>
      </w:r>
    </w:p>
    <w:p>
      <w:pPr>
        <w:pStyle w:val="ListBullet"/>
      </w:pPr>
      <w:r>
        <w:t>Runtime security: supported hardened systems, vulnerability/dependency management, restricted administration with MFA, controlled egress and restoration testing.</w:t>
      </w:r>
    </w:p>
    <w:p>
      <w:pPr>
        <w:pStyle w:val="ListBullet"/>
      </w:pPr>
      <w:r>
        <w:t>PHI handling: approved populations/fields only; prevent unrestricted PHI logging; secure inboxes, checkpoints, backups and quarantine.</w:t>
      </w:r>
    </w:p>
    <w:p>
      <w:pPr>
        <w:pStyle w:val="ListBullet"/>
      </w:pPr>
      <w:r>
        <w:t>Correctness: demonstrate replay safety, idempotency, version handling, delete/correction support, reconciliation and applied-freshness telemetry.</w:t>
      </w:r>
    </w:p>
    <w:p>
      <w:pPr>
        <w:pStyle w:val="ListBullet"/>
      </w:pPr>
      <w:r>
        <w:t>Incident response: named contacts, coverage, agreed notification obligations, evidence preservation, containment cooperation and tested recovery.</w:t>
      </w:r>
    </w:p>
    <w:p>
      <w:pPr>
        <w:pStyle w:val="ListBullet"/>
      </w:pPr>
      <w:r>
        <w:t>Assurance: review relevant independent evidence, but do not treat a certification/report as proof this integration is correctly implemented.</w:t>
      </w:r>
    </w:p>
    <w:p>
      <w:pPr>
        <w:pStyle w:val="Heading1"/>
      </w:pPr>
      <w:r>
        <w:t>14. Onboarding, operations and offboarding</w:t>
      </w:r>
    </w:p>
    <w:p>
      <w:r>
        <w:t>Onboarding: use-case submission → capability discovery and pattern selection → privacy/security/architecture approval → subscription provisioning → vendor certification → production approval. Provisioning belongs to the enterprise MSK/platform and integration owners as applicable; vendor certification follows it.</w:t>
      </w:r>
    </w:p>
    <w:p>
      <w:r>
        <w:t>Operations: maintain publication, delivery and applied-state dashboards; retention-risk alerts; reconciliation cadence; incident contacts; schema/version approvals; access reviews; and operator-authorized replay with evidence.</w:t>
      </w:r>
    </w:p>
    <w:p>
      <w:r>
        <w:t>Offboarding: approve cutoff, stop new delivery, revoke workload and network access, disable dedicated integrations/groups as appropriate, resolve outstanding processing, obtain required data return/deletion evidence, and preserve only approved audit records. Removing a portal user alone is insufficient.</w:t>
      </w:r>
    </w:p>
    <w:p>
      <w:pPr>
        <w:pStyle w:val="Heading1"/>
      </w:pPr>
      <w:r>
        <w:t>15. Supplied XML corrections and release gates</w:t>
      </w:r>
    </w:p>
    <w:p>
      <w:pPr>
        <w:pStyle w:val="ListBullet"/>
      </w:pPr>
      <w:r>
        <w:t>Correct source flow: remove n3 → n1 and change e3 from n1 → n4 to n3 → n4. Intended sequence is 1 → 2 → 3 → 4 → 5.</w:t>
      </w:r>
    </w:p>
    <w:p>
      <w:pPr>
        <w:pStyle w:val="ListBullet"/>
      </w:pPr>
      <w:r>
        <w:t>Separate direct vendor offset commit from enterprise relay offset commit; the current relay path incorrectly rejoins vendor Step 13.</w:t>
      </w:r>
    </w:p>
    <w:p>
      <w:pPr>
        <w:pStyle w:val="ListBullet"/>
      </w:pPr>
      <w:r>
        <w:t>Add intake validation/deduplication on relay path, which currently bypasses Step 9.</w:t>
      </w:r>
    </w:p>
    <w:p>
      <w:pPr>
        <w:pStyle w:val="ListBullet"/>
      </w:pPr>
      <w:r>
        <w:t>Rename AI-specific steps to neutral synchronization/business workflow unless vendor-confirmed.</w:t>
      </w:r>
    </w:p>
    <w:p>
      <w:pPr>
        <w:pStyle w:val="ListBullet"/>
      </w:pPr>
      <w:r>
        <w:t>Mark 7A, 7B and optional Step 14 subject to vendor confirmation. Step 14 currently draws a return event, not an acknowledgment API.</w:t>
      </w:r>
    </w:p>
    <w:p>
      <w:pPr>
        <w:pStyle w:val="ListBullet"/>
      </w:pPr>
      <w:r>
        <w:t>Qualify the independent-position legend: relay Kafka groups are enterprise-operated; business-applied positions remain separate.</w:t>
      </w:r>
    </w:p>
    <w:p>
      <w:r>
        <w:t>Production gates: prove cross-vendor access denial; credential renewal/revocation; catch-up within retention and safe behavior beyond it; crash/rebalance replay safety; duplicate/stale/delete handling; schema compatibility; incomplete-daily-run detection; backpressure; inbound ETL completion semantics; tested recovery; and offboarding evidence.</w:t>
      </w:r>
    </w:p>
    <w:p>
      <w:r>
        <w:t>Final position: retain the architecture as a conditional reference design. Select and certify the vendor interface, correct branch ownership and checkpoints, and approve the data/security/operating contracts before production. Enterprise publication guarantees and vendor synchronization guarantees must remain explicit and distinct.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Enterprise–Vendor MSK Integration | Reference assessment | Proposed controls, subject to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