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Vendor-Triggered Delta Streaming</w:t>
      </w:r>
    </w:p>
    <w:p>
      <w:pPr>
        <w:pStyle w:val="Heading1"/>
      </w:pPr>
      <w:r>
        <w:t>Runtime Swimlane: Implementation and Operating Assessment</w:t>
      </w:r>
    </w:p>
    <w:p>
      <w:r>
        <w:t>Enterprise-owned Amazon MSK • Cohere Health or another authorized vendor • 26 October 2026</w:t>
      </w:r>
    </w:p>
    <w:p>
      <w:r>
        <w:t>Scope: Exclusively the supplied Runtime Swimlane XML: Steps 1–16, direct Kafka branch 7A, enterprise relay/API-push branch 7B, independent positions and failure-control legends. This is not the four-pattern enterprise catalog. The optional return path is assessed only as drawn.</w:t>
      </w:r>
    </w:p>
    <w:p>
      <w:r>
        <w:t>Evidence and status: Diagram observations derive from the supplied XML. Implementation controls are recommendations unless explicitly identified as documented product behavior. Cohere Health connectivity, authentication, API, workflow and return-status capabilities remain unverified. Sources are identified inline with short IDs; their titles and URLs appear at the end. No SLA numbers below are measured results or existing commitments.</w:t>
      </w:r>
    </w:p>
    <w:p>
      <w:pPr>
        <w:pStyle w:val="Heading1"/>
      </w:pPr>
      <w:r>
        <w:t>1. Executive assessment and required corrections</w:t>
      </w:r>
    </w:p>
    <w:p>
      <w:r>
        <w:t>The design is valid as a conditional reference architecture: enterprise publication proceeds independently; an authorized vendor consumes when ready, subject to retention and agreed load limits. “Vendor-triggered” describes consumption, not source capture or publication. Choose the delivery branch during onboarding; do not make Kafka capability a per-record runtime decision.</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XML observation</w:t>
            </w:r>
          </w:p>
        </w:tc>
        <w:tc>
          <w:tcPr>
            <w:tcW w:type="dxa" w:w="5112"/>
          </w:tcPr>
          <w:p>
            <w:r>
              <w:rPr>
                <w:sz w:val="18"/>
              </w:rPr>
              <w:t>Required correction / interpretation</w:t>
            </w:r>
          </w:p>
        </w:tc>
      </w:tr>
      <w:tr>
        <w:tc>
          <w:tcPr>
            <w:tcW w:type="dxa" w:w="5112"/>
          </w:tcPr>
          <w:p>
            <w:r>
              <w:rPr>
                <w:sz w:val="18"/>
              </w:rPr>
              <w:t>e3 connects n1 directly to n4; last connector connects n3 back to n1.</w:t>
            </w:r>
          </w:p>
        </w:tc>
        <w:tc>
          <w:tcPr>
            <w:tcW w:type="dxa" w:w="5112"/>
          </w:tcPr>
          <w:p>
            <w:r>
              <w:rPr>
                <w:sz w:val="18"/>
              </w:rPr>
              <w:t>Remove n3 → n1. Change e3 to n3 → n4. Required flow: 1 → 2 → 3 → 4 → 5; no governance bypass.</w:t>
            </w:r>
          </w:p>
        </w:tc>
      </w:tr>
      <w:tr>
        <w:tc>
          <w:tcPr>
            <w:tcW w:type="dxa" w:w="5112"/>
          </w:tcPr>
          <w:p>
            <w:r>
              <w:rPr>
                <w:sz w:val="18"/>
              </w:rPr>
              <w:t>7B → 10 bypasses validation Step 9.</w:t>
            </w:r>
          </w:p>
        </w:tc>
        <w:tc>
          <w:tcPr>
            <w:tcW w:type="dxa" w:w="5112"/>
          </w:tcPr>
          <w:p>
            <w:r>
              <w:rPr>
                <w:sz w:val="18"/>
              </w:rPr>
              <w:t>Add vendor API intake validation/deduplication, or make equivalent controls common to both branches.</w:t>
            </w:r>
          </w:p>
        </w:tc>
      </w:tr>
      <w:tr>
        <w:tc>
          <w:tcPr>
            <w:tcW w:type="dxa" w:w="5112"/>
          </w:tcPr>
          <w:p>
            <w:r>
              <w:rPr>
                <w:sz w:val="18"/>
              </w:rPr>
              <w:t>Both paths reach vendor Step 13.</w:t>
            </w:r>
          </w:p>
        </w:tc>
        <w:tc>
          <w:tcPr>
            <w:tcW w:type="dxa" w:w="5112"/>
          </w:tcPr>
          <w:p>
            <w:r>
              <w:rPr>
                <w:sz w:val="18"/>
              </w:rPr>
              <w:t>Only 7A uses vendor Kafka commits. In 7B the enterprise relay owns its Kafka checkpoint and delivery ledger.</w:t>
            </w:r>
          </w:p>
        </w:tc>
      </w:tr>
      <w:tr>
        <w:tc>
          <w:tcPr>
            <w:tcW w:type="dxa" w:w="5112"/>
          </w:tcPr>
          <w:p>
            <w:r>
              <w:rPr>
                <w:sz w:val="18"/>
              </w:rPr>
              <w:t>Steps 10–11 and lane 4 assert AI workflow.</w:t>
            </w:r>
          </w:p>
        </w:tc>
        <w:tc>
          <w:tcPr>
            <w:tcW w:type="dxa" w:w="5112"/>
          </w:tcPr>
          <w:p>
            <w:r>
              <w:rPr>
                <w:sz w:val="18"/>
              </w:rPr>
              <w:t>Use vendor staging/transformation/system synchronization unless the contracted AI use case is confirmed.</w:t>
            </w:r>
          </w:p>
        </w:tc>
      </w:tr>
      <w:tr>
        <w:tc>
          <w:tcPr>
            <w:tcW w:type="dxa" w:w="5112"/>
          </w:tcPr>
          <w:p>
            <w:r>
              <w:rPr>
                <w:sz w:val="18"/>
              </w:rPr>
              <w:t>Step 14 is an optional event to Step 15.</w:t>
            </w:r>
          </w:p>
        </w:tc>
        <w:tc>
          <w:tcPr>
            <w:tcW w:type="dxa" w:w="5112"/>
          </w:tcPr>
          <w:p>
            <w:r>
              <w:rPr>
                <w:sz w:val="18"/>
              </w:rPr>
              <w:t>It is not evidence of a vendor acknowledgment API. Confirm Kafka publish versus API ingress; add ingress adapter if needed.</w:t>
            </w:r>
          </w:p>
        </w:tc>
      </w:tr>
      <w:tr>
        <w:tc>
          <w:tcPr>
            <w:tcW w:type="dxa" w:w="5112"/>
          </w:tcPr>
          <w:p>
            <w:r>
              <w:rPr>
                <w:sz w:val="18"/>
              </w:rPr>
              <w:t>Step 4 and 7B sit in MSK platform lane.</w:t>
            </w:r>
          </w:p>
        </w:tc>
        <w:tc>
          <w:tcPr>
            <w:tcW w:type="dxa" w:w="5112"/>
          </w:tcPr>
          <w:p>
            <w:r>
              <w:rPr>
                <w:sz w:val="18"/>
              </w:rPr>
              <w:t>Distinguish application ownership: integration team owns producer/relay logic; MSK team owns broker service. Keep lane labels or add integration lane accordingly.</w:t>
            </w:r>
          </w:p>
        </w:tc>
      </w:tr>
      <w:tr>
        <w:tc>
          <w:tcPr>
            <w:tcW w:type="dxa" w:w="5112"/>
          </w:tcPr>
          <w:p>
            <w:r>
              <w:rPr>
                <w:sz w:val="18"/>
              </w:rPr>
              <w:t>Step 5 lists schema, quota and encryption together.</w:t>
            </w:r>
          </w:p>
        </w:tc>
        <w:tc>
          <w:tcPr>
            <w:tcW w:type="dxa" w:w="5112"/>
          </w:tcPr>
          <w:p>
            <w:r>
              <w:rPr>
                <w:sz w:val="18"/>
              </w:rPr>
              <w:t>These span broker settings, producer/consumer enforcement and governance services; MSK does not validate business schema merely by storing a record.</w:t>
            </w:r>
          </w:p>
        </w:tc>
      </w:tr>
      <w:tr>
        <w:tc>
          <w:tcPr>
            <w:tcW w:type="dxa" w:w="5112"/>
          </w:tcPr>
          <w:p>
            <w:r>
              <w:rPr>
                <w:sz w:val="18"/>
              </w:rPr>
              <w:t>Independent-position legend states one consumer group per vendor/use case/environment.</w:t>
            </w:r>
          </w:p>
        </w:tc>
        <w:tc>
          <w:tcPr>
            <w:tcW w:type="dxa" w:w="5112"/>
          </w:tcPr>
          <w:p>
            <w:r>
              <w:rPr>
                <w:sz w:val="18"/>
              </w:rPr>
              <w:t>Use one group per independent processing application, including application identity. Relay group is enterprise-operated. Offsets are not proof of target application.</w:t>
            </w:r>
          </w:p>
        </w:tc>
      </w:tr>
    </w:tbl>
    <w:p>
      <w:pPr>
        <w:pStyle w:val="Heading1"/>
      </w:pPr>
      <w:r>
        <w:t>2. Components, trust boundaries and responsibility</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Swimlane</w:t>
            </w:r>
          </w:p>
        </w:tc>
        <w:tc>
          <w:tcPr>
            <w:tcW w:type="dxa" w:w="5112"/>
          </w:tcPr>
          <w:p>
            <w:r>
              <w:rPr>
                <w:sz w:val="18"/>
              </w:rPr>
              <w:t>Components and accountable work</w:t>
            </w:r>
          </w:p>
        </w:tc>
      </w:tr>
      <w:tr>
        <w:tc>
          <w:tcPr>
            <w:tcW w:type="dxa" w:w="5112"/>
          </w:tcPr>
          <w:p>
            <w:r>
              <w:rPr>
                <w:sz w:val="18"/>
              </w:rPr>
              <w:t>Enterprise domain / data owner</w:t>
            </w:r>
          </w:p>
        </w:tc>
        <w:tc>
          <w:tcPr>
            <w:tcW w:type="dxa" w:w="5112"/>
          </w:tcPr>
          <w:p>
            <w:r>
              <w:rPr>
                <w:sz w:val="18"/>
              </w:rPr>
              <w:t>Authoritative application/database, transactional outbox, data classification, business semantics, authorized population; approve returned workflow changes.</w:t>
            </w:r>
          </w:p>
        </w:tc>
      </w:tr>
      <w:tr>
        <w:tc>
          <w:tcPr>
            <w:tcW w:type="dxa" w:w="5112"/>
          </w:tcPr>
          <w:p>
            <w:r>
              <w:rPr>
                <w:sz w:val="18"/>
              </w:rPr>
              <w:t>Enterprise integration function</w:t>
            </w:r>
          </w:p>
        </w:tc>
        <w:tc>
          <w:tcPr>
            <w:tcW w:type="dxa" w:w="5112"/>
          </w:tcPr>
          <w:p>
            <w:r>
              <w:rPr>
                <w:sz w:val="18"/>
              </w:rPr>
              <w:t>CDC/producer, event mapping, vendor entitlement projection, schema checks, publication ledger, relay, return ingress and application adapter. May need a separate lane.</w:t>
            </w:r>
          </w:p>
        </w:tc>
      </w:tr>
      <w:tr>
        <w:tc>
          <w:tcPr>
            <w:tcW w:type="dxa" w:w="5112"/>
          </w:tcPr>
          <w:p>
            <w:r>
              <w:rPr>
                <w:sz w:val="18"/>
              </w:rPr>
              <w:t>Enterprise MSK platform product</w:t>
            </w:r>
          </w:p>
        </w:tc>
        <w:tc>
          <w:tcPr>
            <w:tcW w:type="dxa" w:w="5112"/>
          </w:tcPr>
          <w:p>
            <w:r>
              <w:rPr>
                <w:sz w:val="18"/>
              </w:rPr>
              <w:t>Cluster, topics, supported authentication, networking coordination, permission provisioning, retention, capacity, platform monitoring and recovery.</w:t>
            </w:r>
          </w:p>
        </w:tc>
      </w:tr>
      <w:tr>
        <w:tc>
          <w:tcPr>
            <w:tcW w:type="dxa" w:w="5112"/>
          </w:tcPr>
          <w:p>
            <w:r>
              <w:rPr>
                <w:sz w:val="18"/>
              </w:rPr>
              <w:t>Vendor edge</w:t>
            </w:r>
          </w:p>
        </w:tc>
        <w:tc>
          <w:tcPr>
            <w:tcW w:type="dxa" w:w="5112"/>
          </w:tcPr>
          <w:p>
            <w:r>
              <w:rPr>
                <w:sz w:val="18"/>
              </w:rPr>
              <w:t>Approved Kafka consumer OR API receiving endpoint, credentials, validation, deduplication, durable receipt and delivery telemetry.</w:t>
            </w:r>
          </w:p>
        </w:tc>
      </w:tr>
      <w:tr>
        <w:tc>
          <w:tcPr>
            <w:tcW w:type="dxa" w:w="5112"/>
          </w:tcPr>
          <w:p>
            <w:r>
              <w:rPr>
                <w:sz w:val="18"/>
              </w:rPr>
              <w:t>Vendor business workflow</w:t>
            </w:r>
          </w:p>
        </w:tc>
        <w:tc>
          <w:tcPr>
            <w:tcW w:type="dxa" w:w="5112"/>
          </w:tcPr>
          <w:p>
            <w:r>
              <w:rPr>
                <w:sz w:val="18"/>
              </w:rPr>
              <w:t>Transformation, target-system merge/upsert/delete, version/conflict rules, applied-state ledger, optional result producer.</w:t>
            </w:r>
          </w:p>
        </w:tc>
      </w:tr>
      <w:tr>
        <w:tc>
          <w:tcPr>
            <w:tcW w:type="dxa" w:w="5112"/>
          </w:tcPr>
          <w:p>
            <w:r>
              <w:rPr>
                <w:sz w:val="18"/>
              </w:rPr>
              <w:t>Shared governance / operations</w:t>
            </w:r>
          </w:p>
        </w:tc>
        <w:tc>
          <w:tcPr>
            <w:tcW w:type="dxa" w:w="5112"/>
          </w:tcPr>
          <w:p>
            <w:r>
              <w:rPr>
                <w:sz w:val="18"/>
              </w:rPr>
              <w:t>Privacy/security/legal approval, service contract, incident contacts, certification, access review, change/replay approval and offboarding.</w:t>
            </w:r>
          </w:p>
        </w:tc>
      </w:tr>
    </w:tbl>
    <w:p>
      <w:r>
        <w:t>Enterprise trust boundary: authorized publication topics, not raw CDC by default. Vendor boundary: workload authentication plus data-use approval, not network reachability alone. Separate production and test data/identities. Do not expose other vendors’ records and rely on client-side filtering.</w:t>
      </w:r>
    </w:p>
    <w:p>
      <w:pPr>
        <w:pStyle w:val="Heading1"/>
      </w:pPr>
      <w:r>
        <w:t>3. Independent delta and delivery positions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Position</w:t>
            </w:r>
          </w:p>
        </w:tc>
        <w:tc>
          <w:tcPr>
            <w:tcW w:type="dxa" w:w="3408"/>
          </w:tcPr>
          <w:p>
            <w:r>
              <w:rPr>
                <w:sz w:val="18"/>
              </w:rPr>
              <w:t>Owner and storage</w:t>
            </w:r>
          </w:p>
        </w:tc>
        <w:tc>
          <w:tcPr>
            <w:tcW w:type="dxa" w:w="3408"/>
          </w:tcPr>
          <w:p>
            <w:r>
              <w:rPr>
                <w:sz w:val="18"/>
              </w:rPr>
              <w:t>Meaning</w:t>
            </w:r>
          </w:p>
        </w:tc>
      </w:tr>
      <w:tr>
        <w:tc>
          <w:tcPr>
            <w:tcW w:type="dxa" w:w="3408"/>
          </w:tcPr>
          <w:p>
            <w:r>
              <w:rPr>
                <w:sz w:val="18"/>
              </w:rPr>
              <w:t>Capture position</w:t>
            </w:r>
          </w:p>
        </w:tc>
        <w:tc>
          <w:tcPr>
            <w:tcW w:type="dxa" w:w="3408"/>
          </w:tcPr>
          <w:p>
            <w:r>
              <w:rPr>
                <w:sz w:val="18"/>
              </w:rPr>
              <w:t>Enterprise CDC offsets / source-log position</w:t>
            </w:r>
          </w:p>
        </w:tc>
        <w:tc>
          <w:tcPr>
            <w:tcW w:type="dxa" w:w="3408"/>
          </w:tcPr>
          <w:p>
            <w:r>
              <w:rPr>
                <w:sz w:val="18"/>
              </w:rPr>
              <w:t>Source changes captured; not vendor consumption.</w:t>
            </w:r>
          </w:p>
        </w:tc>
      </w:tr>
      <w:tr>
        <w:tc>
          <w:tcPr>
            <w:tcW w:type="dxa" w:w="3408"/>
          </w:tcPr>
          <w:p>
            <w:r>
              <w:rPr>
                <w:sz w:val="18"/>
              </w:rPr>
              <w:t>Published position / run</w:t>
            </w:r>
          </w:p>
        </w:tc>
        <w:tc>
          <w:tcPr>
            <w:tcW w:type="dxa" w:w="3408"/>
          </w:tcPr>
          <w:p>
            <w:r>
              <w:rPr>
                <w:sz w:val="18"/>
              </w:rPr>
              <w:t>Enterprise publication ledger and lineage</w:t>
            </w:r>
          </w:p>
        </w:tc>
        <w:tc>
          <w:tcPr>
            <w:tcW w:type="dxa" w:w="3408"/>
          </w:tcPr>
          <w:p>
            <w:r>
              <w:rPr>
                <w:sz w:val="18"/>
              </w:rPr>
              <w:t>Source changes successfully published; include batch/snapshot boundaries where needed.</w:t>
            </w:r>
          </w:p>
        </w:tc>
      </w:tr>
      <w:tr>
        <w:tc>
          <w:tcPr>
            <w:tcW w:type="dxa" w:w="3408"/>
          </w:tcPr>
          <w:p>
            <w:r>
              <w:rPr>
                <w:sz w:val="18"/>
              </w:rPr>
              <w:t>Kafka delivery position</w:t>
            </w:r>
          </w:p>
        </w:tc>
        <w:tc>
          <w:tcPr>
            <w:tcW w:type="dxa" w:w="3408"/>
          </w:tcPr>
          <w:p>
            <w:r>
              <w:rPr>
                <w:sz w:val="18"/>
              </w:rPr>
              <w:t>7A: vendor group. 7B: enterprise relay group.</w:t>
            </w:r>
          </w:p>
        </w:tc>
        <w:tc>
          <w:tcPr>
            <w:tcW w:type="dxa" w:w="3408"/>
          </w:tcPr>
          <w:p>
            <w:r>
              <w:rPr>
                <w:sz w:val="18"/>
              </w:rPr>
              <w:t>Per topic/partition committed resume position; fetched position may be ahead.</w:t>
            </w:r>
          </w:p>
        </w:tc>
      </w:tr>
      <w:tr>
        <w:tc>
          <w:tcPr>
            <w:tcW w:type="dxa" w:w="3408"/>
          </w:tcPr>
          <w:p>
            <w:r>
              <w:rPr>
                <w:sz w:val="18"/>
              </w:rPr>
              <w:t>Durable accepted position</w:t>
            </w:r>
          </w:p>
        </w:tc>
        <w:tc>
          <w:tcPr>
            <w:tcW w:type="dxa" w:w="3408"/>
          </w:tcPr>
          <w:p>
            <w:r>
              <w:rPr>
                <w:sz w:val="18"/>
              </w:rPr>
              <w:t>Vendor inbox and/or relay delivery ledger</w:t>
            </w:r>
          </w:p>
        </w:tc>
        <w:tc>
          <w:tcPr>
            <w:tcW w:type="dxa" w:w="3408"/>
          </w:tcPr>
          <w:p>
            <w:r>
              <w:rPr>
                <w:sz w:val="18"/>
              </w:rPr>
              <w:t>Work safely accepted for eventual processing; does not establish target application.</w:t>
            </w:r>
          </w:p>
        </w:tc>
      </w:tr>
      <w:tr>
        <w:tc>
          <w:tcPr>
            <w:tcW w:type="dxa" w:w="3408"/>
          </w:tcPr>
          <w:p>
            <w:r>
              <w:rPr>
                <w:sz w:val="18"/>
              </w:rPr>
              <w:t>Business-applied position</w:t>
            </w:r>
          </w:p>
        </w:tc>
        <w:tc>
          <w:tcPr>
            <w:tcW w:type="dxa" w:w="3408"/>
          </w:tcPr>
          <w:p>
            <w:r>
              <w:rPr>
                <w:sz w:val="18"/>
              </w:rPr>
              <w:t>Vendor target transaction / synchronization ledger</w:t>
            </w:r>
          </w:p>
        </w:tc>
        <w:tc>
          <w:tcPr>
            <w:tcW w:type="dxa" w:w="3408"/>
          </w:tcPr>
          <w:p>
            <w:r>
              <w:rPr>
                <w:sz w:val="18"/>
              </w:rPr>
              <w:t>Changes successfully applied to vendor systems; this is the relevant business freshness evidence.</w:t>
            </w:r>
          </w:p>
        </w:tc>
      </w:tr>
    </w:tbl>
    <w:p>
      <w:pPr>
        <w:pStyle w:val="ListBullet"/>
      </w:pPr>
      <w:r>
        <w:t>Instances of one processing application share its group; independent synchronization and analytics applications do not. Scope permissions to the exact approved topic/group namespace.</w:t>
      </w:r>
    </w:p>
    <w:p>
      <w:pPr>
        <w:pStyle w:val="ListBullet"/>
      </w:pPr>
      <w:r>
        <w:t>Use stable event_id and entity_id plus source version/change identity. Timestamps alone do not resolve equal-time, late-arriving or out-of-order updates.</w:t>
      </w:r>
    </w:p>
    <w:p>
      <w:pPr>
        <w:pStyle w:val="ListBullet"/>
      </w:pPr>
      <w:r>
        <w:t>Kafka offsets are per partition, not one global timestamp. Store the next safe offset to read, not simply the most recently fetched offset.</w:t>
      </w:r>
    </w:p>
    <w:p>
      <w:pPr>
        <w:pStyle w:val="ListBullet"/>
      </w:pPr>
      <w:r>
        <w:t>An application can commit only through contiguous safely handled positions. Parallel work must not advance past unfinished records without a durable approved handoff.</w:t>
      </w:r>
    </w:p>
    <w:p>
      <w:pPr>
        <w:pStyle w:val="ListBullet"/>
      </w:pPr>
      <w:r>
        <w:t>Topic retention and inactive group-offset retention are separate. Recovery may require rebaseline if either retained history or an authoritative position is unavailable. Verify settings for the selected deployment.</w:t>
      </w:r>
    </w:p>
    <w:p>
      <w:pPr>
        <w:pStyle w:val="ListBullet"/>
      </w:pPr>
      <w:r>
        <w:t>Use a stable logical topic with publication_run_id for daily batches unless topic-per-run lifecycle and resume behavior are intentionally designed. A snapshot differs from a delta batch.</w:t>
      </w:r>
    </w:p>
    <w:p>
      <w:pPr>
        <w:pStyle w:val="Heading2"/>
      </w:pPr>
      <w:r>
        <w:t>Success boundary: choose one and document it</w:t>
      </w:r>
    </w:p>
    <w:p>
      <w:r>
        <w:t>Apply-before-commit: vendor target transaction succeeds before 7A commit. Inbox-before-commit: durable vendor receipt precedes commit, and a separate processor applies later. In the second model monitor inbox backlog and target-applied freshness; low Kafka lag can hide a stale target. For 7B, enterprise commits only after durable handoff into its own delivery store or validated durable vendor acceptance, per the chosen contract—not an arbitrary HTTP response.</w:t>
      </w:r>
    </w:p>
    <w:p>
      <w:pPr>
        <w:pStyle w:val="Heading1"/>
      </w:pPr>
      <w:r>
        <w:t>4. Step-by-step runtime implementation</w:t>
      </w:r>
    </w:p>
    <w:p>
      <w:pPr>
        <w:pStyle w:val="Heading2"/>
      </w:pPr>
      <w:r>
        <w:t>1 — Business change committed (n1)</w:t>
      </w:r>
    </w:p>
    <w:p>
      <w:r>
        <w:rPr>
          <w:b/>
        </w:rPr>
        <w:t xml:space="preserve">Owner / components: </w:t>
      </w:r>
      <w:r>
        <w:t>Enterprise domain application and authoritative database.</w:t>
      </w:r>
    </w:p>
    <w:p>
      <w:r>
        <w:rPr>
          <w:b/>
        </w:rPr>
        <w:t xml:space="preserve">Action and configuration: </w:t>
      </w:r>
      <w:r>
        <w:t>Commit the business change; assign stable entity identity and source version. If using an outbox, write business state and outbox record in the same database transaction.</w:t>
      </w:r>
    </w:p>
    <w:p>
      <w:r>
        <w:rPr>
          <w:b/>
        </w:rPr>
        <w:t xml:space="preserve">Position / evidence: </w:t>
      </w:r>
      <w:r>
        <w:t>Persist authoritative state and the outbox/source-log identity. Do not count attempted or rolled-back changes as published work.</w:t>
      </w:r>
    </w:p>
    <w:p>
      <w:r>
        <w:rPr>
          <w:b/>
        </w:rPr>
        <w:t xml:space="preserve">Failure and security controls: </w:t>
      </w:r>
      <w:r>
        <w:t>Avoid independent database and Kafka writes without recovery. Monitor source availability and outbox growth; protect PHI and exclude unapproved fields.</w:t>
      </w:r>
    </w:p>
    <w:p>
      <w:pPr>
        <w:pStyle w:val="Heading2"/>
      </w:pPr>
      <w:r>
        <w:t>2 — Capture committed delta (n2)</w:t>
      </w:r>
    </w:p>
    <w:p>
      <w:r>
        <w:rPr>
          <w:b/>
        </w:rPr>
        <w:t xml:space="preserve">Owner / components: </w:t>
      </w:r>
      <w:r>
        <w:t>Enterprise integration team; approved CDC tool or outbox capture.</w:t>
      </w:r>
    </w:p>
    <w:p>
      <w:r>
        <w:rPr>
          <w:b/>
        </w:rPr>
        <w:t xml:space="preserve">Action and configuration: </w:t>
      </w:r>
      <w:r>
        <w:t>Configure source logging/permissions, tables and columns, snapshot-to-stream boundary, source-log retention and capture schema/history as required by the connector. Capture deletes and corrections.</w:t>
      </w:r>
    </w:p>
    <w:p>
      <w:r>
        <w:rPr>
          <w:b/>
        </w:rPr>
        <w:t xml:space="preserve">Position / evidence: </w:t>
      </w:r>
      <w:r>
        <w:t>Maintain connector capture position separately from Kafka consumer positions. Establish a consistent initial baseline plus subsequent changes.</w:t>
      </w:r>
    </w:p>
    <w:p>
      <w:r>
        <w:rPr>
          <w:b/>
        </w:rPr>
        <w:t xml:space="preserve">Failure and security controls: </w:t>
      </w:r>
      <w:r>
        <w:t>Retry transient capture faults, alert on source lag/log-retention risk. If the log gap is unrecoverable, stop continuity claims and rebaseline. Choose and certify the source-specific connector.</w:t>
      </w:r>
    </w:p>
    <w:p>
      <w:pPr>
        <w:pStyle w:val="Heading2"/>
      </w:pPr>
      <w:r>
        <w:t>3 — Build governed event (n3)</w:t>
      </w:r>
    </w:p>
    <w:p>
      <w:r>
        <w:rPr>
          <w:b/>
        </w:rPr>
        <w:t xml:space="preserve">Owner / components: </w:t>
      </w:r>
      <w:r>
        <w:t>Enterprise transformation / entitlement projection service.</w:t>
      </w:r>
    </w:p>
    <w:p>
      <w:r>
        <w:rPr>
          <w:b/>
        </w:rPr>
        <w:t xml:space="preserve">Action and configuration: </w:t>
      </w:r>
      <w:r>
        <w:t>Validate/map source changes; minimize PHI; enforce vendor scope; add event identity, entity key/version, operation, schema version and lineage. Define full-state versus patch semantics.</w:t>
      </w:r>
    </w:p>
    <w:p>
      <w:r>
        <w:rPr>
          <w:b/>
        </w:rPr>
        <w:t xml:space="preserve">Position / evidence: </w:t>
      </w:r>
      <w:r>
        <w:t>Track invalid and unpublished changes. Preserve original event identity for retries. Source timestamp, publication time and entity version have distinct meanings.</w:t>
      </w:r>
    </w:p>
    <w:p>
      <w:r>
        <w:rPr>
          <w:b/>
        </w:rPr>
        <w:t xml:space="preserve">Failure and security controls: </w:t>
      </w:r>
      <w:r>
        <w:t>Fail closed on missing entitlement. Quarantine invalid mapping with restricted evidence. Schema approval and producer serialization checks are separate from broker storage.</w:t>
      </w:r>
    </w:p>
    <w:p>
      <w:pPr>
        <w:pStyle w:val="Heading2"/>
      </w:pPr>
      <w:r>
        <w:t>4 — Publish delta (n4)</w:t>
      </w:r>
    </w:p>
    <w:p>
      <w:r>
        <w:rPr>
          <w:b/>
        </w:rPr>
        <w:t xml:space="preserve">Owner / components: </w:t>
      </w:r>
      <w:r>
        <w:t>Enterprise producer; MSK team provisions the destination.</w:t>
      </w:r>
    </w:p>
    <w:p>
      <w:r>
        <w:rPr>
          <w:b/>
        </w:rPr>
        <w:t xml:space="preserve">Action and configuration: </w:t>
      </w:r>
      <w:r>
        <w:t>Publish canonical internal or restricted vendor delivery topic. Partition by appropriate entity key; do not allow vendors unrestricted canonical data. Configure durability, retry envelope and client size/batch limits.</w:t>
      </w:r>
    </w:p>
    <w:p>
      <w:r>
        <w:rPr>
          <w:b/>
        </w:rPr>
        <w:t xml:space="preserve">Position / evidence: </w:t>
      </w:r>
      <w:r>
        <w:t>Record durable produce success and source lineage. Producer idempotence does not by itself make source-to-vendor synchronization exactly once.</w:t>
      </w:r>
    </w:p>
    <w:p>
      <w:r>
        <w:rPr>
          <w:b/>
        </w:rPr>
        <w:t xml:space="preserve">Failure and security controls: </w:t>
      </w:r>
      <w:r>
        <w:t>Retry ambiguous failures with stable event IDs; reconcile gaps. Proposed RF=3/minISR=2/acks=all baseline requires compatible topology and load tests. [A2][A3]</w:t>
      </w:r>
    </w:p>
    <w:p>
      <w:pPr>
        <w:pStyle w:val="Heading2"/>
      </w:pPr>
      <w:r>
        <w:t>5 — Persist and govern (n5)</w:t>
      </w:r>
    </w:p>
    <w:p>
      <w:r>
        <w:rPr>
          <w:b/>
        </w:rPr>
        <w:t xml:space="preserve">Owner / components: </w:t>
      </w:r>
      <w:r>
        <w:t>MSK platform with integration/security owners.</w:t>
      </w:r>
    </w:p>
    <w:p>
      <w:r>
        <w:rPr>
          <w:b/>
        </w:rPr>
        <w:t xml:space="preserve">Action and configuration: </w:t>
      </w:r>
      <w:r>
        <w:t>Provision partitions, replication, retention/cleanup, encryption, authentication, access, limits and monitoring. Manage schema contracts outside/alongside broker enforcement.</w:t>
      </w:r>
    </w:p>
    <w:p>
      <w:r>
        <w:rPr>
          <w:b/>
        </w:rPr>
        <w:t xml:space="preserve">Position / evidence: </w:t>
      </w:r>
      <w:r>
        <w:t>Retain the agreed replay window and consumer offset history; identify oldest available position and publication completeness.</w:t>
      </w:r>
    </w:p>
    <w:p>
      <w:r>
        <w:rPr>
          <w:b/>
        </w:rPr>
        <w:t xml:space="preserve">Failure and security controls: </w:t>
      </w:r>
      <w:r>
        <w:t>Alert on unavailable/under-replicated partitions, capacity pressure and retention risk. Consumption does not pin data indefinitely. Never promise unlimited offline recovery.</w:t>
      </w:r>
    </w:p>
    <w:p>
      <w:pPr>
        <w:pStyle w:val="Heading2"/>
      </w:pPr>
      <w:r>
        <w:t>6 — Vendor Kafka capable? (n6)</w:t>
      </w:r>
    </w:p>
    <w:p>
      <w:r>
        <w:rPr>
          <w:b/>
        </w:rPr>
        <w:t xml:space="preserve">Owner / components: </w:t>
      </w:r>
      <w:r>
        <w:t>Architecture/platform/integration owners with vendor certification.</w:t>
      </w:r>
    </w:p>
    <w:p>
      <w:r>
        <w:rPr>
          <w:b/>
        </w:rPr>
        <w:t xml:space="preserve">Action and configuration: </w:t>
      </w:r>
      <w:r>
        <w:t>Confirm client/runtime compatibility, network route, authentication, group lifecycle, operational coverage, schema access and recovery support. Select 7A or 7B during onboarding.</w:t>
      </w:r>
    </w:p>
    <w:p>
      <w:r>
        <w:rPr>
          <w:b/>
        </w:rPr>
        <w:t xml:space="preserve">Position / evidence: </w:t>
      </w:r>
      <w:r>
        <w:t>Store selected pattern, approved identities/topics/groups, entitlement and service tier in subscription configuration.</w:t>
      </w:r>
    </w:p>
    <w:p>
      <w:r>
        <w:rPr>
          <w:b/>
        </w:rPr>
        <w:t xml:space="preserve">Failure and security controls: </w:t>
      </w:r>
      <w:r>
        <w:t>Kafka inability does not prove an API exists. If neither interface is certified, block production rather than assume relay capability.</w:t>
      </w:r>
    </w:p>
    <w:p>
      <w:pPr>
        <w:pStyle w:val="Heading2"/>
      </w:pPr>
      <w:r>
        <w:t>7A — Establish private access (n7a)</w:t>
      </w:r>
    </w:p>
    <w:p>
      <w:r>
        <w:rPr>
          <w:b/>
        </w:rPr>
        <w:t xml:space="preserve">Owner / components: </w:t>
      </w:r>
      <w:r>
        <w:t>Vendor workload plus enterprise network/MSK/security teams.</w:t>
      </w:r>
    </w:p>
    <w:p>
      <w:r>
        <w:rPr>
          <w:b/>
        </w:rPr>
        <w:t xml:space="preserve">Action and configuration: </w:t>
      </w:r>
      <w:r>
        <w:t>Configure approved network/DNS/security groups and supported Kafka authentication. For IAM, use AWS-supported client/token mechanism and short-lived credentials where feasible. Scope topic/group access.</w:t>
      </w:r>
    </w:p>
    <w:p>
      <w:r>
        <w:rPr>
          <w:b/>
        </w:rPr>
        <w:t xml:space="preserve">Position / evidence: </w:t>
      </w:r>
      <w:r>
        <w:t>Separate human portal identity from Kafka workload identity. Bind role trust to the intended workload/account and distinguish test/prod.</w:t>
      </w:r>
    </w:p>
    <w:p>
      <w:r>
        <w:rPr>
          <w:b/>
        </w:rPr>
        <w:t xml:space="preserve">Failure and security controls: </w:t>
      </w:r>
      <w:r>
        <w:t>Test failed authentication/authorization, credential renewal and revocation. Verify networking/deployment constraints. IAM SASL_OAUTHBEARER uses the AWS token flow; it does not mean arbitrary Entra tokens are accepted. [A1]</w:t>
      </w:r>
    </w:p>
    <w:p>
      <w:pPr>
        <w:pStyle w:val="Heading2"/>
      </w:pPr>
      <w:r>
        <w:t>7B — Enterprise-managed relay (n7b)</w:t>
      </w:r>
    </w:p>
    <w:p>
      <w:r>
        <w:rPr>
          <w:b/>
        </w:rPr>
        <w:t xml:space="preserve">Owner / components: </w:t>
      </w:r>
      <w:r>
        <w:t>Enterprise integration team; connector or custom service.</w:t>
      </w:r>
    </w:p>
    <w:p>
      <w:r>
        <w:rPr>
          <w:b/>
        </w:rPr>
        <w:t xml:space="preserve">Action and configuration: </w:t>
      </w:r>
      <w:r>
        <w:t>Consume MSK with enterprise identity; map/filter only authorized data; invoke a vendor-confirmed API over approved connectivity. Define request identity, timeouts, rate limits, idempotency and response semantics.</w:t>
      </w:r>
    </w:p>
    <w:p>
      <w:r>
        <w:rPr>
          <w:b/>
        </w:rPr>
        <w:t xml:space="preserve">Position / evidence: </w:t>
      </w:r>
      <w:r>
        <w:t>Enterprise owns relay group and delivery ledger. Vendor owns receipt/application state. Commit after durable handoff under the agreed design.</w:t>
      </w:r>
    </w:p>
    <w:p>
      <w:r>
        <w:rPr>
          <w:b/>
        </w:rPr>
        <w:t xml:space="preserve">Failure and security controls: </w:t>
      </w:r>
      <w:r>
        <w:t>Backoff with jitter and bounded retries; handle throttling, timeouts and ambiguous responses; quarantine permanent failures. Protect logs. This XML is API push, not vendor API pull.</w:t>
      </w:r>
    </w:p>
    <w:p>
      <w:pPr>
        <w:pStyle w:val="Heading2"/>
      </w:pPr>
      <w:r>
        <w:t>8 — Vendor consumer polls (n8)</w:t>
      </w:r>
    </w:p>
    <w:p>
      <w:r>
        <w:rPr>
          <w:b/>
        </w:rPr>
        <w:t xml:space="preserve">Owner / components: </w:t>
      </w:r>
      <w:r>
        <w:t>Vendor Kafka application, direct branch only.</w:t>
      </w:r>
    </w:p>
    <w:p>
      <w:r>
        <w:rPr>
          <w:b/>
        </w:rPr>
        <w:t xml:space="preserve">Action and configuration: </w:t>
      </w:r>
      <w:r>
        <w:t>Subscribe using stable application/use-case/environment group; poll records, apply backpressure and manage partition assignments. Configure bounded batches and safe processing duration.</w:t>
      </w:r>
    </w:p>
    <w:p>
      <w:r>
        <w:rPr>
          <w:b/>
        </w:rPr>
        <w:t xml:space="preserve">Position / evidence: </w:t>
      </w:r>
      <w:r>
        <w:t>Fetch position and committed position differ. Bootstrap and missing-offset policies must be explicit; do not silently skip to latest.</w:t>
      </w:r>
    </w:p>
    <w:p>
      <w:r>
        <w:rPr>
          <w:b/>
        </w:rPr>
        <w:t xml:space="preserve">Failure and security controls: </w:t>
      </w:r>
      <w:r>
        <w:t>Review enable.auto.commit=false for manual durability semantics; auto.offset.reset=none for explicit missing-position recovery. Tune max.poll.interval.ms and max.poll.records against processing and client version. [K1]</w:t>
      </w:r>
    </w:p>
    <w:p>
      <w:pPr>
        <w:pStyle w:val="Heading2"/>
      </w:pPr>
      <w:r>
        <w:t>9 — Validate and deduplicate (n9)</w:t>
      </w:r>
    </w:p>
    <w:p>
      <w:r>
        <w:rPr>
          <w:b/>
        </w:rPr>
        <w:t xml:space="preserve">Owner / components: </w:t>
      </w:r>
      <w:r>
        <w:t>Vendor edge on both branches; add equivalent API intake for 7B.</w:t>
      </w:r>
    </w:p>
    <w:p>
      <w:r>
        <w:rPr>
          <w:b/>
        </w:rPr>
        <w:t xml:space="preserve">Action and configuration: </w:t>
      </w:r>
      <w:r>
        <w:t>Validate envelope/schema, entity version, stable event identity, operation and authorized scope. Protect inbox/ledger and enforce payload size limits.</w:t>
      </w:r>
    </w:p>
    <w:p>
      <w:r>
        <w:rPr>
          <w:b/>
        </w:rPr>
        <w:t xml:space="preserve">Position / evidence: </w:t>
      </w:r>
      <w:r>
        <w:t>Persist deduplication identity with a retention horizon covering permitted replay. Track invalid, duplicate and stale events separately.</w:t>
      </w:r>
    </w:p>
    <w:p>
      <w:r>
        <w:rPr>
          <w:b/>
        </w:rPr>
        <w:t xml:space="preserve">Failure and security controls: </w:t>
      </w:r>
      <w:r>
        <w:t>Distinguish malformed versus incompatible versus unauthorized data. Do not retry permanent errors forever; quarantine with restricted payload access. Preserve entity ordering where required.</w:t>
      </w:r>
    </w:p>
    <w:p>
      <w:pPr>
        <w:pStyle w:val="Heading2"/>
      </w:pPr>
      <w:r>
        <w:t>10 — Route delta (n10)</w:t>
      </w:r>
    </w:p>
    <w:p>
      <w:r>
        <w:rPr>
          <w:b/>
        </w:rPr>
        <w:t xml:space="preserve">Owner / components: </w:t>
      </w:r>
      <w:r>
        <w:t>Vendor durable staging / routing service.</w:t>
      </w:r>
    </w:p>
    <w:p>
      <w:r>
        <w:rPr>
          <w:b/>
        </w:rPr>
        <w:t xml:space="preserve">Action and configuration: </w:t>
      </w:r>
      <w:r>
        <w:t>Stage or route accepted changes to the appropriate target adapter/workflow. Replace the diagram’s unverified Cohere AI label with neutral business processing.</w:t>
      </w:r>
    </w:p>
    <w:p>
      <w:r>
        <w:rPr>
          <w:b/>
        </w:rPr>
        <w:t xml:space="preserve">Position / evidence: </w:t>
      </w:r>
      <w:r>
        <w:t>If using inbox-before-commit, make durable receipt the explicit checkpoint and separately track target application.</w:t>
      </w:r>
    </w:p>
    <w:p>
      <w:r>
        <w:rPr>
          <w:b/>
        </w:rPr>
        <w:t xml:space="preserve">Failure and security controls: </w:t>
      </w:r>
      <w:r>
        <w:t>Bound queue/storage, alert on oldest unprocessed work and failed routes. Prevent loss between receipt and processing; keep correlation without unnecessary PHI.</w:t>
      </w:r>
    </w:p>
    <w:p>
      <w:pPr>
        <w:pStyle w:val="Heading2"/>
      </w:pPr>
      <w:r>
        <w:t>11 — Synchronize vendor system (n11)</w:t>
      </w:r>
    </w:p>
    <w:p>
      <w:r>
        <w:rPr>
          <w:b/>
        </w:rPr>
        <w:t xml:space="preserve">Owner / components: </w:t>
      </w:r>
      <w:r>
        <w:t>Vendor transformation / target application adapter.</w:t>
      </w:r>
    </w:p>
    <w:p>
      <w:r>
        <w:rPr>
          <w:b/>
        </w:rPr>
        <w:t xml:space="preserve">Action and configuration: </w:t>
      </w:r>
      <w:r>
        <w:t>Apply upserts, deletes and corrections with source-version rules. Resolve field ownership and out-of-order updates. Multi-target workflows require per-target progress or explicit compensation rules.</w:t>
      </w:r>
    </w:p>
    <w:p>
      <w:r>
        <w:rPr>
          <w:b/>
        </w:rPr>
        <w:t xml:space="preserve">Position / evidence: </w:t>
      </w:r>
      <w:r>
        <w:t>Persist target transaction outcome and event identity/version together where feasible; use retry-safe target operations.</w:t>
      </w:r>
    </w:p>
    <w:p>
      <w:r>
        <w:rPr>
          <w:b/>
        </w:rPr>
        <w:t xml:space="preserve">Failure and security controls: </w:t>
      </w:r>
      <w:r>
        <w:t>Crash after apply may cause replay: deduplicate or make reapplication harmless. No generic AI or exactly-once claim. Pause/contain critical failures according to clinical impact.</w:t>
      </w:r>
    </w:p>
    <w:p>
      <w:pPr>
        <w:pStyle w:val="Heading2"/>
      </w:pPr>
      <w:r>
        <w:t>12 — Durable checkpoint (n12)</w:t>
      </w:r>
    </w:p>
    <w:p>
      <w:r>
        <w:rPr>
          <w:b/>
        </w:rPr>
        <w:t xml:space="preserve">Owner / components: </w:t>
      </w:r>
      <w:r>
        <w:t>Vendor inbox/processing ledger and target database.</w:t>
      </w:r>
    </w:p>
    <w:p>
      <w:r>
        <w:rPr>
          <w:b/>
        </w:rPr>
        <w:t xml:space="preserve">Action and configuration: </w:t>
      </w:r>
      <w:r>
        <w:t>Record accepted, applied, rejected or retrying status, event identity, version, target and trace. Do not collapse accepted and applied into one success flag.</w:t>
      </w:r>
    </w:p>
    <w:p>
      <w:r>
        <w:rPr>
          <w:b/>
        </w:rPr>
        <w:t xml:space="preserve">Position / evidence: </w:t>
      </w:r>
      <w:r>
        <w:t>Checkpoint is durable storage, not process memory. Distinguish per-event status from per-partition contiguous delivery progress.</w:t>
      </w:r>
    </w:p>
    <w:p>
      <w:r>
        <w:rPr>
          <w:b/>
        </w:rPr>
        <w:t xml:space="preserve">Failure and security controls: </w:t>
      </w:r>
      <w:r>
        <w:t>Protect checkpoint availability/backups and reconcile it with target state. Define restart behavior and retention. Partial multi-target success must remain visible.</w:t>
      </w:r>
    </w:p>
    <w:p>
      <w:pPr>
        <w:pStyle w:val="Heading2"/>
      </w:pPr>
      <w:r>
        <w:t>13 — Commit offset (n13)</w:t>
      </w:r>
    </w:p>
    <w:p>
      <w:r>
        <w:rPr>
          <w:b/>
        </w:rPr>
        <w:t xml:space="preserve">Owner / components: </w:t>
      </w:r>
      <w:r>
        <w:t>7A vendor consumer; separate 7B enterprise relay commit box required.</w:t>
      </w:r>
    </w:p>
    <w:p>
      <w:r>
        <w:rPr>
          <w:b/>
        </w:rPr>
        <w:t xml:space="preserve">Action and configuration: </w:t>
      </w:r>
      <w:r>
        <w:t>Commit next safe offset after the selected durable milestone. Coordinate async work and rebalance callbacks so prior owners cannot commit unsafe progress.</w:t>
      </w:r>
    </w:p>
    <w:p>
      <w:r>
        <w:rPr>
          <w:b/>
        </w:rPr>
        <w:t xml:space="preserve">Position / evidence: </w:t>
      </w:r>
      <w:r>
        <w:t>Commit is a transport recovery boundary, not proof that enterprise has evidence of vendor target application.</w:t>
      </w:r>
    </w:p>
    <w:p>
      <w:r>
        <w:rPr>
          <w:b/>
        </w:rPr>
        <w:t xml:space="preserve">Failure and security controls: </w:t>
      </w:r>
      <w:r>
        <w:t>Failure before commit leads to replay; failure after premature commit can cause loss. Avoid async regression/stale commits; test shutdown, rebalance and restart paths. [K1]</w:t>
      </w:r>
    </w:p>
    <w:p>
      <w:pPr>
        <w:pStyle w:val="Heading2"/>
      </w:pPr>
      <w:r>
        <w:t>14 — Optional acknowledgment / result (n14)</w:t>
      </w:r>
    </w:p>
    <w:p>
      <w:r>
        <w:rPr>
          <w:b/>
        </w:rPr>
        <w:t xml:space="preserve">Owner / components: </w:t>
      </w:r>
      <w:r>
        <w:t>Vendor return producer or confirmed API client.</w:t>
      </w:r>
    </w:p>
    <w:p>
      <w:r>
        <w:rPr>
          <w:b/>
        </w:rPr>
        <w:t xml:space="preserve">Action and configuration: </w:t>
      </w:r>
      <w:r>
        <w:t>Return event_id/correlation, status type and safe business metadata. Received/applied/rejected/retrying and RFI/decision results need distinct semantics.</w:t>
      </w:r>
    </w:p>
    <w:p>
      <w:r>
        <w:rPr>
          <w:b/>
        </w:rPr>
        <w:t xml:space="preserve">Position / evidence: </w:t>
      </w:r>
      <w:r>
        <w:t>Use an idempotent return path and durable result publication/outbox if loss is unacceptable. The XML shows return event, not an established API.</w:t>
      </w:r>
    </w:p>
    <w:p>
      <w:r>
        <w:rPr>
          <w:b/>
        </w:rPr>
        <w:t xml:space="preserve">Failure and security controls: </w:t>
      </w:r>
      <w:r>
        <w:t>Do not lose mandatory results by treating them as optional best-effort. Select scoped Kafka write or enterprise API ingress, with separate credentials and replay controls.</w:t>
      </w:r>
    </w:p>
    <w:p>
      <w:pPr>
        <w:pStyle w:val="Heading2"/>
      </w:pPr>
      <w:r>
        <w:t>15 — Enterprise status / result topic (n15)</w:t>
      </w:r>
    </w:p>
    <w:p>
      <w:r>
        <w:rPr>
          <w:b/>
        </w:rPr>
        <w:t xml:space="preserve">Owner / components: </w:t>
      </w:r>
      <w:r>
        <w:t>Enterprise inbound integration and MSK platform.</w:t>
      </w:r>
    </w:p>
    <w:p>
      <w:r>
        <w:rPr>
          <w:b/>
        </w:rPr>
        <w:t xml:space="preserve">Action and configuration: </w:t>
      </w:r>
      <w:r>
        <w:t>Authenticate and validate vendor returns; map to internal schema; publish to restricted status topic. Add ingress adapter if vendor returns through API.</w:t>
      </w:r>
    </w:p>
    <w:p>
      <w:r>
        <w:rPr>
          <w:b/>
        </w:rPr>
        <w:t xml:space="preserve">Position / evidence: </w:t>
      </w:r>
      <w:r>
        <w:t>Preserve original event correlation and vendor result identity/version. Receipt on this topic is not enterprise workflow application.</w:t>
      </w:r>
    </w:p>
    <w:p>
      <w:r>
        <w:rPr>
          <w:b/>
        </w:rPr>
        <w:t xml:space="preserve">Failure and security controls: </w:t>
      </w:r>
      <w:r>
        <w:t>Deduplicate, quarantine invalid results and alert on missing expected outcomes; prevent writes to unrelated enterprise topics.</w:t>
      </w:r>
    </w:p>
    <w:p>
      <w:pPr>
        <w:pStyle w:val="Heading2"/>
      </w:pPr>
      <w:r>
        <w:t>16 — Apply status / result (n16)</w:t>
      </w:r>
    </w:p>
    <w:p>
      <w:r>
        <w:rPr>
          <w:b/>
        </w:rPr>
        <w:t xml:space="preserve">Owner / components: </w:t>
      </w:r>
      <w:r>
        <w:t>Enterprise application/domain owner with inbound processing adapter.</w:t>
      </w:r>
    </w:p>
    <w:p>
      <w:r>
        <w:rPr>
          <w:b/>
        </w:rPr>
        <w:t xml:space="preserve">Action and configuration: </w:t>
      </w:r>
      <w:r>
        <w:t>Consume approved results, transform and apply to enterprise workflow using authority/conflict rules. Do not let an external result overwrite source-of-truth data indiscriminately.</w:t>
      </w:r>
    </w:p>
    <w:p>
      <w:r>
        <w:rPr>
          <w:b/>
        </w:rPr>
        <w:t xml:space="preserve">Position / evidence: </w:t>
      </w:r>
      <w:r>
        <w:t>Maintain independent inbound processing checkpoint and business-applied ledger; reconcile results to outbound events.</w:t>
      </w:r>
    </w:p>
    <w:p>
      <w:r>
        <w:rPr>
          <w:b/>
        </w:rPr>
        <w:t xml:space="preserve">Failure and security controls: </w:t>
      </w:r>
      <w:r>
        <w:t>Retry safe application, isolate conflicting/late results, audit decisions and prevent feedback loops. Target merge/application completion is distinct from Kafka ingestion.</w:t>
      </w:r>
    </w:p>
    <w:p>
      <w:pPr>
        <w:pStyle w:val="Heading1"/>
      </w:pPr>
      <w:r>
        <w:t>5. IAM: OIDC, CIAM, federation and Kafka authorization</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Plane</w:t>
            </w:r>
          </w:p>
        </w:tc>
        <w:tc>
          <w:tcPr>
            <w:tcW w:type="dxa" w:w="5112"/>
          </w:tcPr>
          <w:p>
            <w:r>
              <w:rPr>
                <w:sz w:val="18"/>
              </w:rPr>
              <w:t>Purpose and required design</w:t>
            </w:r>
          </w:p>
        </w:tc>
      </w:tr>
      <w:tr>
        <w:tc>
          <w:tcPr>
            <w:tcW w:type="dxa" w:w="5112"/>
          </w:tcPr>
          <w:p>
            <w:r>
              <w:rPr>
                <w:sz w:val="18"/>
              </w:rPr>
              <w:t>Enterprise workforce</w:t>
            </w:r>
          </w:p>
        </w:tc>
        <w:tc>
          <w:tcPr>
            <w:tcW w:type="dxa" w:w="5112"/>
          </w:tcPr>
          <w:p>
            <w:r>
              <w:rPr>
                <w:sz w:val="18"/>
              </w:rPr>
              <w:t>Entra workforce federation, MFA, administrative roles and privileged-access approvals for consoles/support. Avoid shared administrator accounts.</w:t>
            </w:r>
          </w:p>
        </w:tc>
      </w:tr>
      <w:tr>
        <w:tc>
          <w:tcPr>
            <w:tcW w:type="dxa" w:w="5112"/>
          </w:tcPr>
          <w:p>
            <w:r>
              <w:rPr>
                <w:sz w:val="18"/>
              </w:rPr>
              <w:t>Vendor humans / CIAM</w:t>
            </w:r>
          </w:p>
        </w:tc>
        <w:tc>
          <w:tcPr>
            <w:tcW w:type="dxa" w:w="5112"/>
          </w:tcPr>
          <w:p>
            <w:r>
              <w:rPr>
                <w:sz w:val="18"/>
              </w:rPr>
              <w:t>Use B2B federation or CIAM as appropriate for onboarding and support portals. OIDC establishes login identity; authorization still requires tenant, role and subscription checks.</w:t>
            </w:r>
          </w:p>
        </w:tc>
      </w:tr>
      <w:tr>
        <w:tc>
          <w:tcPr>
            <w:tcW w:type="dxa" w:w="5112"/>
          </w:tcPr>
          <w:p>
            <w:r>
              <w:rPr>
                <w:sz w:val="18"/>
              </w:rPr>
              <w:t>API workloads / OAuth</w:t>
            </w:r>
          </w:p>
        </w:tc>
        <w:tc>
          <w:tcPr>
            <w:tcW w:type="dxa" w:w="5112"/>
          </w:tcPr>
          <w:p>
            <w:r>
              <w:rPr>
                <w:sz w:val="18"/>
              </w:rPr>
              <w:t>Use the agreed machine-to-machine grant and/or mTLS. Validate access-token signature, issuer, audience, expiry and scopes. Do not use an OIDC ID token as a generic API access token.</w:t>
            </w:r>
          </w:p>
        </w:tc>
      </w:tr>
      <w:tr>
        <w:tc>
          <w:tcPr>
            <w:tcW w:type="dxa" w:w="5112"/>
          </w:tcPr>
          <w:p>
            <w:r>
              <w:rPr>
                <w:sz w:val="18"/>
              </w:rPr>
              <w:t>Kafka IAM workloads</w:t>
            </w:r>
          </w:p>
        </w:tc>
        <w:tc>
          <w:tcPr>
            <w:tcW w:type="dxa" w:w="5112"/>
          </w:tcPr>
          <w:p>
            <w:r>
              <w:rPr>
                <w:sz w:val="18"/>
              </w:rPr>
              <w:t>AWS-supported IAM client mechanism: SASL_OAUTHBEARER or Java AWS_MSK_IAM as documented. The client obtains AWS-compatible credentials/token; an Entra-issued token is not automatically a direct MSK credential. [A1]</w:t>
            </w:r>
          </w:p>
        </w:tc>
      </w:tr>
      <w:tr>
        <w:tc>
          <w:tcPr>
            <w:tcW w:type="dxa" w:w="5112"/>
          </w:tcPr>
          <w:p>
            <w:r>
              <w:rPr>
                <w:sz w:val="18"/>
              </w:rPr>
              <w:t>Other Kafka authentication</w:t>
            </w:r>
          </w:p>
        </w:tc>
        <w:tc>
          <w:tcPr>
            <w:tcW w:type="dxa" w:w="5112"/>
          </w:tcPr>
          <w:p>
            <w:r>
              <w:rPr>
                <w:sz w:val="18"/>
              </w:rPr>
              <w:t>SCRAM or mTLS only if supported for selected deployment and certified vendor client. Design appropriate authorization independently of authentication; do not confuse certificate/secret possession with topic entitlement.</w:t>
            </w:r>
          </w:p>
        </w:tc>
      </w:tr>
      <w:tr>
        <w:tc>
          <w:tcPr>
            <w:tcW w:type="dxa" w:w="5112"/>
          </w:tcPr>
          <w:p>
            <w:r>
              <w:rPr>
                <w:sz w:val="18"/>
              </w:rPr>
              <w:t>Federation trust</w:t>
            </w:r>
          </w:p>
        </w:tc>
        <w:tc>
          <w:tcPr>
            <w:tcW w:type="dxa" w:w="5112"/>
          </w:tcPr>
          <w:p>
            <w:r>
              <w:rPr>
                <w:sz w:val="18"/>
              </w:rPr>
              <w:t>Where Entra/workload federation to AWS is selected, document the supported trust flow, audience/subject restrictions, credential expiry and renewal. No long-lived shared keys by default.</w:t>
            </w:r>
          </w:p>
        </w:tc>
      </w:tr>
      <w:tr>
        <w:tc>
          <w:tcPr>
            <w:tcW w:type="dxa" w:w="5112"/>
          </w:tcPr>
          <w:p>
            <w:r>
              <w:rPr>
                <w:sz w:val="18"/>
              </w:rPr>
              <w:t>Lifecycle / audit</w:t>
            </w:r>
          </w:p>
        </w:tc>
        <w:tc>
          <w:tcPr>
            <w:tcW w:type="dxa" w:w="5112"/>
          </w:tcPr>
          <w:p>
            <w:r>
              <w:rPr>
                <w:sz w:val="18"/>
              </w:rPr>
              <w:t>Create per-environment workload identities, rotate secrets/certificates, log attributable changes and test revocation/containment. Human offboarding alone does not stop a workload.</w:t>
            </w:r>
          </w:p>
        </w:tc>
      </w:tr>
    </w:tbl>
    <w:p>
      <w:r>
        <w:t>Read-only entitlement intent: cluster connection; describe/read approved topic; describe/use approved consumer group; only required schema access. For IAM this generally maps to scoped kafka-cluster actions Connect, DescribeTopic, ReadData, DescribeGroup and AlterGroup, with dependencies and resource ARNs verified against the chosen implementation. Return publishing requires a separate least-privilege write scope. Never grant create/delete/configure/admin access by convenience.</w:t>
      </w:r>
    </w:p>
    <w:p>
      <w:r>
        <w:t>OIDC/CIAM, Kafka identity, KMS permissions and schema-registry access are separate permission boundaries. Network access does not grant data entitlement. Kafka topic authorization does not itself implement row-level PHI filtering; generate an authorized topic/projection before vendor access.</w:t>
      </w:r>
    </w:p>
    <w:p>
      <w:pPr>
        <w:pStyle w:val="Heading1"/>
      </w:pPr>
      <w:r>
        <w:t>6. Configuration checklist: MSK and surrounding systems</w:t>
      </w:r>
    </w:p>
    <w:p>
      <w:r>
        <w:t>Illustrative baseline only: MSK Provisioned Standard brokers, private connectivity, three AZs, RF 3, minISR 2 and producer acks=all. AWS documents the combined durability effect; verify supported settings and capacity for the selected service/version. [A2][A3]</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Area / owner</w:t>
            </w:r>
          </w:p>
        </w:tc>
        <w:tc>
          <w:tcPr>
            <w:tcW w:type="dxa" w:w="5112"/>
          </w:tcPr>
          <w:p>
            <w:r>
              <w:rPr>
                <w:sz w:val="18"/>
              </w:rPr>
              <w:t>Required settings, tools and processes</w:t>
            </w:r>
          </w:p>
        </w:tc>
      </w:tr>
      <w:tr>
        <w:tc>
          <w:tcPr>
            <w:tcW w:type="dxa" w:w="5112"/>
          </w:tcPr>
          <w:p>
            <w:r>
              <w:rPr>
                <w:sz w:val="18"/>
              </w:rPr>
              <w:t>Infrastructure / platform</w:t>
            </w:r>
          </w:p>
        </w:tc>
        <w:tc>
          <w:tcPr>
            <w:tcW w:type="dxa" w:w="5112"/>
          </w:tcPr>
          <w:p>
            <w:r>
              <w:rPr>
                <w:sz w:val="18"/>
              </w:rPr>
              <w:t>Infrastructure-as-code modules for cluster, subnets/security groups, broker type/version, encryption, logs, tags, environments, capacity and operational ownership. Disable unapproved public/unauthenticated access.</w:t>
            </w:r>
          </w:p>
        </w:tc>
      </w:tr>
      <w:tr>
        <w:tc>
          <w:tcPr>
            <w:tcW w:type="dxa" w:w="5112"/>
          </w:tcPr>
          <w:p>
            <w:r>
              <w:rPr>
                <w:sz w:val="18"/>
              </w:rPr>
              <w:t>Topics / platform + integration</w:t>
            </w:r>
          </w:p>
        </w:tc>
        <w:tc>
          <w:tcPr>
            <w:tcW w:type="dxa" w:w="5112"/>
          </w:tcPr>
          <w:p>
            <w:r>
              <w:rPr>
                <w:sz w:val="18"/>
              </w:rPr>
              <w:t>Explicit topic provisioning; approved names, partitions, RF/minISR, retention.ms/retention.bytes, cleanup.policy, message-size limits, ownership/schema tags and authorized vendor projection. Avoid ungoverned auto-creation.</w:t>
            </w:r>
          </w:p>
        </w:tc>
      </w:tr>
      <w:tr>
        <w:tc>
          <w:tcPr>
            <w:tcW w:type="dxa" w:w="5112"/>
          </w:tcPr>
          <w:p>
            <w:r>
              <w:rPr>
                <w:sz w:val="18"/>
              </w:rPr>
              <w:t>Retention / platform + privacy</w:t>
            </w:r>
          </w:p>
        </w:tc>
        <w:tc>
          <w:tcPr>
            <w:tcW w:type="dxa" w:w="5112"/>
          </w:tcPr>
          <w:p>
            <w:r>
              <w:rPr>
                <w:sz w:val="18"/>
              </w:rPr>
              <w:t>Size storage to preserve promised history under peak load. Set inactive offset retention where supported; align with scheduled consumers. Approve PHI retention, snapshot and quarantine lifecycles. Verify actual deployment configurability.</w:t>
            </w:r>
          </w:p>
        </w:tc>
      </w:tr>
      <w:tr>
        <w:tc>
          <w:tcPr>
            <w:tcW w:type="dxa" w:w="5112"/>
          </w:tcPr>
          <w:p>
            <w:r>
              <w:rPr>
                <w:sz w:val="18"/>
              </w:rPr>
              <w:t>Networking / network teams</w:t>
            </w:r>
          </w:p>
        </w:tc>
        <w:tc>
          <w:tcPr>
            <w:tcW w:type="dxa" w:w="5112"/>
          </w:tcPr>
          <w:p>
            <w:r>
              <w:rPr>
                <w:sz w:val="18"/>
              </w:rPr>
              <w:t>Approved private path, DNS, routes, reachable broker endpoints, security groups and ports, managed VPC connection/cluster policy if applicable; validate Region/account/AZ compatibility rather than assume it.</w:t>
            </w:r>
          </w:p>
        </w:tc>
      </w:tr>
      <w:tr>
        <w:tc>
          <w:tcPr>
            <w:tcW w:type="dxa" w:w="5112"/>
          </w:tcPr>
          <w:p>
            <w:r>
              <w:rPr>
                <w:sz w:val="18"/>
              </w:rPr>
              <w:t>Authentication / security</w:t>
            </w:r>
          </w:p>
        </w:tc>
        <w:tc>
          <w:tcPr>
            <w:tcW w:type="dxa" w:w="5112"/>
          </w:tcPr>
          <w:p>
            <w:r>
              <w:rPr>
                <w:sz w:val="18"/>
              </w:rPr>
              <w:t>Selected mechanism, workload role/trust, secret/certificate storage and rotation, client libraries, token refresh, environment separation and break-glass access.</w:t>
            </w:r>
          </w:p>
        </w:tc>
      </w:tr>
      <w:tr>
        <w:tc>
          <w:tcPr>
            <w:tcW w:type="dxa" w:w="5112"/>
          </w:tcPr>
          <w:p>
            <w:r>
              <w:rPr>
                <w:sz w:val="18"/>
              </w:rPr>
              <w:t>Authorization / platform</w:t>
            </w:r>
          </w:p>
        </w:tc>
        <w:tc>
          <w:tcPr>
            <w:tcW w:type="dxa" w:w="5112"/>
          </w:tcPr>
          <w:p>
            <w:r>
              <w:rPr>
                <w:sz w:val="18"/>
              </w:rPr>
              <w:t>Exact approved topic/group permissions; separate return write entitlement; no access to raw CDC or other vendor topics. Test negative access and audit changes.</w:t>
            </w:r>
          </w:p>
        </w:tc>
      </w:tr>
      <w:tr>
        <w:tc>
          <w:tcPr>
            <w:tcW w:type="dxa" w:w="5112"/>
          </w:tcPr>
          <w:p>
            <w:r>
              <w:rPr>
                <w:sz w:val="18"/>
              </w:rPr>
              <w:t>Producer / integration</w:t>
            </w:r>
          </w:p>
        </w:tc>
        <w:tc>
          <w:tcPr>
            <w:tcW w:type="dxa" w:w="5112"/>
          </w:tcPr>
          <w:p>
            <w:r>
              <w:rPr>
                <w:sz w:val="18"/>
              </w:rPr>
              <w:t>acks, enable.idempotence, delivery timeout, retry/backoff, compression/batch and request-size limits; entity partition key; stable event IDs; error handling and publication reconciliation.</w:t>
            </w:r>
          </w:p>
        </w:tc>
      </w:tr>
      <w:tr>
        <w:tc>
          <w:tcPr>
            <w:tcW w:type="dxa" w:w="5112"/>
          </w:tcPr>
          <w:p>
            <w:r>
              <w:rPr>
                <w:sz w:val="18"/>
              </w:rPr>
              <w:t>CDC / source + integration</w:t>
            </w:r>
          </w:p>
        </w:tc>
        <w:tc>
          <w:tcPr>
            <w:tcW w:type="dxa" w:w="5112"/>
          </w:tcPr>
          <w:p>
            <w:r>
              <w:rPr>
                <w:sz w:val="18"/>
              </w:rPr>
              <w:t>Source log/CDC prerequisites, include lists and PHI exclusions, least-privilege capture account, connector snapshot boundary, offset/history storage, log retention, restart and gap handling.</w:t>
            </w:r>
          </w:p>
        </w:tc>
      </w:tr>
      <w:tr>
        <w:tc>
          <w:tcPr>
            <w:tcW w:type="dxa" w:w="5112"/>
          </w:tcPr>
          <w:p>
            <w:r>
              <w:rPr>
                <w:sz w:val="18"/>
              </w:rPr>
              <w:t>Transformation / integration</w:t>
            </w:r>
          </w:p>
        </w:tc>
        <w:tc>
          <w:tcPr>
            <w:tcW w:type="dxa" w:w="5112"/>
          </w:tcPr>
          <w:p>
            <w:r>
              <w:rPr>
                <w:sz w:val="18"/>
              </w:rPr>
              <w:t>Versioned mapping function/service, field/entity entitlement, event envelope, schema compatibility/serialization, invalid-event routing and publication ledger.</w:t>
            </w:r>
          </w:p>
        </w:tc>
      </w:tr>
      <w:tr>
        <w:tc>
          <w:tcPr>
            <w:tcW w:type="dxa" w:w="5112"/>
          </w:tcPr>
          <w:p>
            <w:r>
              <w:rPr>
                <w:sz w:val="18"/>
              </w:rPr>
              <w:t>Schemas / integration</w:t>
            </w:r>
          </w:p>
        </w:tc>
        <w:tc>
          <w:tcPr>
            <w:tcW w:type="dxa" w:w="5112"/>
          </w:tcPr>
          <w:p>
            <w:r>
              <w:rPr>
                <w:sz w:val="18"/>
              </w:rPr>
              <w:t>Glue Schema Registry or approved alternative where suitable; compatibility workflow, schema version distribution, vendor serializer support and historical replay tests. Registry access must be explicitly authorized.</w:t>
            </w:r>
          </w:p>
        </w:tc>
      </w:tr>
      <w:tr>
        <w:tc>
          <w:tcPr>
            <w:tcW w:type="dxa" w:w="5112"/>
          </w:tcPr>
          <w:p>
            <w:r>
              <w:rPr>
                <w:sz w:val="18"/>
              </w:rPr>
              <w:t>Vendor consumer / vendor</w:t>
            </w:r>
          </w:p>
        </w:tc>
        <w:tc>
          <w:tcPr>
            <w:tcW w:type="dxa" w:w="5112"/>
          </w:tcPr>
          <w:p>
            <w:r>
              <w:rPr>
                <w:sz w:val="18"/>
              </w:rPr>
              <w:t>group.id/client identity; manual commit design; missing-offset policy; poll/fetch byte/record limits; processing duration, concurrency, rebalances, shutdown and credential renewal. Confirm client-version-specific behavior. [K1]</w:t>
            </w:r>
          </w:p>
        </w:tc>
      </w:tr>
      <w:tr>
        <w:tc>
          <w:tcPr>
            <w:tcW w:type="dxa" w:w="5112"/>
          </w:tcPr>
          <w:p>
            <w:r>
              <w:rPr>
                <w:sz w:val="18"/>
              </w:rPr>
              <w:t>Relay / integration</w:t>
            </w:r>
          </w:p>
        </w:tc>
        <w:tc>
          <w:tcPr>
            <w:tcW w:type="dxa" w:w="5112"/>
          </w:tcPr>
          <w:p>
            <w:r>
              <w:rPr>
                <w:sz w:val="18"/>
              </w:rPr>
              <w:t>Compatible MSK Connect sink or custom service on approved runtime (e.g. ECS/EKS where suitable); durable delivery store, destination API contract, authentication, idempotency, timeout/throttle/retry and acceptance interpretation.</w:t>
            </w:r>
          </w:p>
        </w:tc>
      </w:tr>
      <w:tr>
        <w:tc>
          <w:tcPr>
            <w:tcW w:type="dxa" w:w="5112"/>
          </w:tcPr>
          <w:p>
            <w:r>
              <w:rPr>
                <w:sz w:val="18"/>
              </w:rPr>
              <w:t>Vendor processing / vendor</w:t>
            </w:r>
          </w:p>
        </w:tc>
        <w:tc>
          <w:tcPr>
            <w:tcW w:type="dxa" w:w="5112"/>
          </w:tcPr>
          <w:p>
            <w:r>
              <w:rPr>
                <w:sz w:val="18"/>
              </w:rPr>
              <w:t>Durable inbox/ledger, target merge/version checks, delete and correction rules, bounded resources, application retries, applied-state telemetry and restoration.</w:t>
            </w:r>
          </w:p>
        </w:tc>
      </w:tr>
      <w:tr>
        <w:tc>
          <w:tcPr>
            <w:tcW w:type="dxa" w:w="5112"/>
          </w:tcPr>
          <w:p>
            <w:r>
              <w:rPr>
                <w:sz w:val="18"/>
              </w:rPr>
              <w:t>Return path / integration + vendor</w:t>
            </w:r>
          </w:p>
        </w:tc>
        <w:tc>
          <w:tcPr>
            <w:tcW w:type="dxa" w:w="5112"/>
          </w:tcPr>
          <w:p>
            <w:r>
              <w:rPr>
                <w:sz w:val="18"/>
              </w:rPr>
              <w:t>Scoped result producer or API gateway/ingress adapter, validation, topic, correlation, deduplication, business-result processing and separate inbound checkpoint.</w:t>
            </w:r>
          </w:p>
        </w:tc>
      </w:tr>
      <w:tr>
        <w:tc>
          <w:tcPr>
            <w:tcW w:type="dxa" w:w="5112"/>
          </w:tcPr>
          <w:p>
            <w:r>
              <w:rPr>
                <w:sz w:val="18"/>
              </w:rPr>
              <w:t>Monitoring / shared</w:t>
            </w:r>
          </w:p>
        </w:tc>
        <w:tc>
          <w:tcPr>
            <w:tcW w:type="dxa" w:w="5112"/>
          </w:tcPr>
          <w:p>
            <w:r>
              <w:rPr>
                <w:sz w:val="18"/>
              </w:rPr>
              <w:t>CloudWatch/approved monitoring, broker and client signals, source-to-publish latency, publication completeness, group lag, inbox backlog, applied freshness, auth failures, retry/quarantine age and retention risk.</w:t>
            </w:r>
          </w:p>
        </w:tc>
      </w:tr>
      <w:tr>
        <w:tc>
          <w:tcPr>
            <w:tcW w:type="dxa" w:w="5112"/>
          </w:tcPr>
          <w:p>
            <w:r>
              <w:rPr>
                <w:sz w:val="18"/>
              </w:rPr>
              <w:t>Evidence / shared</w:t>
            </w:r>
          </w:p>
        </w:tc>
        <w:tc>
          <w:tcPr>
            <w:tcW w:type="dxa" w:w="5112"/>
          </w:tcPr>
          <w:p>
            <w:r>
              <w:rPr>
                <w:sz w:val="18"/>
              </w:rPr>
              <w:t>CloudTrail where applicable for AWS control-plane activity plus application/network/data-access evidence as designed. Do not assume CloudTrail records every Kafka fetch or record read.</w:t>
            </w:r>
          </w:p>
        </w:tc>
      </w:tr>
      <w:tr>
        <w:tc>
          <w:tcPr>
            <w:tcW w:type="dxa" w:w="5112"/>
          </w:tcPr>
          <w:p>
            <w:r>
              <w:rPr>
                <w:sz w:val="18"/>
              </w:rPr>
              <w:t>Recovery / shared</w:t>
            </w:r>
          </w:p>
        </w:tc>
        <w:tc>
          <w:tcPr>
            <w:tcW w:type="dxa" w:w="5112"/>
          </w:tcPr>
          <w:p>
            <w:r>
              <w:rPr>
                <w:sz w:val="18"/>
              </w:rPr>
              <w:t>Authorized replay tool/runbook, baseline/repair extract store, encrypted backup, position reset approvals, rate limits, compatibility checks and disaster recovery tests.</w:t>
            </w:r>
          </w:p>
        </w:tc>
      </w:tr>
      <w:tr>
        <w:tc>
          <w:tcPr>
            <w:tcW w:type="dxa" w:w="5112"/>
          </w:tcPr>
          <w:p>
            <w:r>
              <w:rPr>
                <w:sz w:val="18"/>
              </w:rPr>
              <w:t>Service management / shared</w:t>
            </w:r>
          </w:p>
        </w:tc>
        <w:tc>
          <w:tcPr>
            <w:tcW w:type="dxa" w:w="5112"/>
          </w:tcPr>
          <w:p>
            <w:r>
              <w:rPr>
                <w:sz w:val="18"/>
              </w:rPr>
              <w:t>Subscription register, owners/on-call, vendor contacts, schema/access changes, quarterly or risk-based access reviews, security evidence, incident response and offboarding checklist.</w:t>
            </w:r>
          </w:p>
        </w:tc>
      </w:tr>
    </w:tbl>
    <w:p>
      <w:pPr>
        <w:pStyle w:val="Heading2"/>
      </w:pPr>
      <w:r>
        <w:t>Suggested consumer settings: verify rather than copy blindly</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Setting</w:t>
            </w:r>
          </w:p>
        </w:tc>
        <w:tc>
          <w:tcPr>
            <w:tcW w:type="dxa" w:w="5112"/>
          </w:tcPr>
          <w:p>
            <w:r>
              <w:rPr>
                <w:sz w:val="18"/>
              </w:rPr>
              <w:t>Recommendation / reason</w:t>
            </w:r>
          </w:p>
        </w:tc>
      </w:tr>
      <w:tr>
        <w:tc>
          <w:tcPr>
            <w:tcW w:type="dxa" w:w="5112"/>
          </w:tcPr>
          <w:p>
            <w:r>
              <w:rPr>
                <w:sz w:val="18"/>
              </w:rPr>
              <w:t>enable.auto.commit</w:t>
            </w:r>
          </w:p>
        </w:tc>
        <w:tc>
          <w:tcPr>
            <w:tcW w:type="dxa" w:w="5112"/>
          </w:tcPr>
          <w:p>
            <w:r>
              <w:rPr>
                <w:sz w:val="18"/>
              </w:rPr>
              <w:t>false when implementing manual durability semantics; an application still must implement safe commits.</w:t>
            </w:r>
          </w:p>
        </w:tc>
      </w:tr>
      <w:tr>
        <w:tc>
          <w:tcPr>
            <w:tcW w:type="dxa" w:w="5112"/>
          </w:tcPr>
          <w:p>
            <w:r>
              <w:rPr>
                <w:sz w:val="18"/>
              </w:rPr>
              <w:t>auto.offset.reset</w:t>
            </w:r>
          </w:p>
        </w:tc>
        <w:tc>
          <w:tcPr>
            <w:tcW w:type="dxa" w:w="5112"/>
          </w:tcPr>
          <w:p>
            <w:r>
              <w:rPr>
                <w:sz w:val="18"/>
              </w:rPr>
              <w:t>none for explicit missing-offset recovery where supported by selected client; bootstrap intentionally. Never silently select latest for required history.</w:t>
            </w:r>
          </w:p>
        </w:tc>
      </w:tr>
      <w:tr>
        <w:tc>
          <w:tcPr>
            <w:tcW w:type="dxa" w:w="5112"/>
          </w:tcPr>
          <w:p>
            <w:r>
              <w:rPr>
                <w:sz w:val="18"/>
              </w:rPr>
              <w:t>max.poll.records / max.poll.interval.ms</w:t>
            </w:r>
          </w:p>
        </w:tc>
        <w:tc>
          <w:tcPr>
            <w:tcW w:type="dxa" w:w="5112"/>
          </w:tcPr>
          <w:p>
            <w:r>
              <w:rPr>
                <w:sz w:val="18"/>
              </w:rPr>
              <w:t>Bound batch size and align polling interval with processing design. Exceeding poll interval can lead to reassignment; do not merely increase it without testing. [K1]</w:t>
            </w:r>
          </w:p>
        </w:tc>
      </w:tr>
      <w:tr>
        <w:tc>
          <w:tcPr>
            <w:tcW w:type="dxa" w:w="5112"/>
          </w:tcPr>
          <w:p>
            <w:r>
              <w:rPr>
                <w:sz w:val="18"/>
              </w:rPr>
              <w:t>fetch/message size settings</w:t>
            </w:r>
          </w:p>
        </w:tc>
        <w:tc>
          <w:tcPr>
            <w:tcW w:type="dxa" w:w="5112"/>
          </w:tcPr>
          <w:p>
            <w:r>
              <w:rPr>
                <w:sz w:val="18"/>
              </w:rPr>
              <w:t>Make producer, broker and consumer sizes compatible; avoid unbounded PHI/document payloads. Use approved protected document references where appropriate.</w:t>
            </w:r>
          </w:p>
        </w:tc>
      </w:tr>
      <w:tr>
        <w:tc>
          <w:tcPr>
            <w:tcW w:type="dxa" w:w="5112"/>
          </w:tcPr>
          <w:p>
            <w:r>
              <w:rPr>
                <w:sz w:val="18"/>
              </w:rPr>
              <w:t>isolation.level</w:t>
            </w:r>
          </w:p>
        </w:tc>
        <w:tc>
          <w:tcPr>
            <w:tcW w:type="dxa" w:w="5112"/>
          </w:tcPr>
          <w:p>
            <w:r>
              <w:rPr>
                <w:sz w:val="18"/>
              </w:rPr>
              <w:t>Use read_committed if transactional producers are used and aborted records must not be exposed; validate actual producer semantics.</w:t>
            </w:r>
          </w:p>
        </w:tc>
      </w:tr>
      <w:tr>
        <w:tc>
          <w:tcPr>
            <w:tcW w:type="dxa" w:w="5112"/>
          </w:tcPr>
          <w:p>
            <w:r>
              <w:rPr>
                <w:sz w:val="18"/>
              </w:rPr>
              <w:t>group/assignment protocol</w:t>
            </w:r>
          </w:p>
        </w:tc>
        <w:tc>
          <w:tcPr>
            <w:tcW w:type="dxa" w:w="5112"/>
          </w:tcPr>
          <w:p>
            <w:r>
              <w:rPr>
                <w:sz w:val="18"/>
              </w:rPr>
              <w:t>Certify client/protocol version, rebalance behavior, any static membership and concurrency; avoid relying on defaults from another Kafka version.</w:t>
            </w:r>
          </w:p>
        </w:tc>
      </w:tr>
    </w:tbl>
    <w:p>
      <w:pPr>
        <w:pStyle w:val="Heading1"/>
      </w:pPr>
      <w:r>
        <w:t>7. Failure controls, reconciliation and recovery</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Failure</w:t>
            </w:r>
          </w:p>
        </w:tc>
        <w:tc>
          <w:tcPr>
            <w:tcW w:type="dxa" w:w="5112"/>
          </w:tcPr>
          <w:p>
            <w:r>
              <w:rPr>
                <w:sz w:val="18"/>
              </w:rPr>
              <w:t>Control and responsible party</w:t>
            </w:r>
          </w:p>
        </w:tc>
      </w:tr>
      <w:tr>
        <w:tc>
          <w:tcPr>
            <w:tcW w:type="dxa" w:w="5112"/>
          </w:tcPr>
          <w:p>
            <w:r>
              <w:rPr>
                <w:sz w:val="18"/>
              </w:rPr>
              <w:t>Duplicate after uncertain publish or crash</w:t>
            </w:r>
          </w:p>
        </w:tc>
        <w:tc>
          <w:tcPr>
            <w:tcW w:type="dxa" w:w="5112"/>
          </w:tcPr>
          <w:p>
            <w:r>
              <w:rPr>
                <w:sz w:val="18"/>
              </w:rPr>
              <w:t>Stable ID/version; retry-safe target application; vendor deduplication. Enterprise reconciles publication completeness.</w:t>
            </w:r>
          </w:p>
        </w:tc>
      </w:tr>
      <w:tr>
        <w:tc>
          <w:tcPr>
            <w:tcW w:type="dxa" w:w="5112"/>
          </w:tcPr>
          <w:p>
            <w:r>
              <w:rPr>
                <w:sz w:val="18"/>
              </w:rPr>
              <w:t>Source gap / lost CDC log</w:t>
            </w:r>
          </w:p>
        </w:tc>
        <w:tc>
          <w:tcPr>
            <w:tcW w:type="dxa" w:w="5112"/>
          </w:tcPr>
          <w:p>
            <w:r>
              <w:rPr>
                <w:sz w:val="18"/>
              </w:rPr>
              <w:t>Enterprise stops continuity claims and creates controlled rebaseline or repair; retain evidence of affected range.</w:t>
            </w:r>
          </w:p>
        </w:tc>
      </w:tr>
      <w:tr>
        <w:tc>
          <w:tcPr>
            <w:tcW w:type="dxa" w:w="5112"/>
          </w:tcPr>
          <w:p>
            <w:r>
              <w:rPr>
                <w:sz w:val="18"/>
              </w:rPr>
              <w:t>Vendor unavailable</w:t>
            </w:r>
          </w:p>
        </w:tc>
        <w:tc>
          <w:tcPr>
            <w:tcW w:type="dxa" w:w="5112"/>
          </w:tcPr>
          <w:p>
            <w:r>
              <w:rPr>
                <w:sz w:val="18"/>
              </w:rPr>
              <w:t>Vendor/relay retries with backoff; alert on oldest unapplied work and approaching recovery-window loss.</w:t>
            </w:r>
          </w:p>
        </w:tc>
      </w:tr>
      <w:tr>
        <w:tc>
          <w:tcPr>
            <w:tcW w:type="dxa" w:w="5112"/>
          </w:tcPr>
          <w:p>
            <w:r>
              <w:rPr>
                <w:sz w:val="18"/>
              </w:rPr>
              <w:t>Poison event</w:t>
            </w:r>
          </w:p>
        </w:tc>
        <w:tc>
          <w:tcPr>
            <w:tcW w:type="dxa" w:w="5112"/>
          </w:tcPr>
          <w:p>
            <w:r>
              <w:rPr>
                <w:sz w:val="18"/>
              </w:rPr>
              <w:t>Durable restricted quarantine with original identity, error classification, owner and resolution deadline; explicitly decide whether later same-entity events may proceed.</w:t>
            </w:r>
          </w:p>
        </w:tc>
      </w:tr>
      <w:tr>
        <w:tc>
          <w:tcPr>
            <w:tcW w:type="dxa" w:w="5112"/>
          </w:tcPr>
          <w:p>
            <w:r>
              <w:rPr>
                <w:sz w:val="18"/>
              </w:rPr>
              <w:t>Out-of-order/late changes</w:t>
            </w:r>
          </w:p>
        </w:tc>
        <w:tc>
          <w:tcPr>
            <w:tcW w:type="dxa" w:w="5112"/>
          </w:tcPr>
          <w:p>
            <w:r>
              <w:rPr>
                <w:sz w:val="18"/>
              </w:rPr>
              <w:t>Version checks and deterministic stale/conflict rules; do not treat arrival order/timestamp as universal source truth.</w:t>
            </w:r>
          </w:p>
        </w:tc>
      </w:tr>
      <w:tr>
        <w:tc>
          <w:tcPr>
            <w:tcW w:type="dxa" w:w="5112"/>
          </w:tcPr>
          <w:p>
            <w:r>
              <w:rPr>
                <w:sz w:val="18"/>
              </w:rPr>
              <w:t>Checkpoint loss / expired offsets</w:t>
            </w:r>
          </w:p>
        </w:tc>
        <w:tc>
          <w:tcPr>
            <w:tcW w:type="dxa" w:w="5112"/>
          </w:tcPr>
          <w:p>
            <w:r>
              <w:rPr>
                <w:sz w:val="18"/>
              </w:rPr>
              <w:t>Recover from verified ledger and retained history or rebaseline. Group state alone is not a backup of business target state.</w:t>
            </w:r>
          </w:p>
        </w:tc>
      </w:tr>
      <w:tr>
        <w:tc>
          <w:tcPr>
            <w:tcW w:type="dxa" w:w="5112"/>
          </w:tcPr>
          <w:p>
            <w:r>
              <w:rPr>
                <w:sz w:val="18"/>
              </w:rPr>
              <w:t>API timeout / ambiguous response</w:t>
            </w:r>
          </w:p>
        </w:tc>
        <w:tc>
          <w:tcPr>
            <w:tcW w:type="dxa" w:w="5112"/>
          </w:tcPr>
          <w:p>
            <w:r>
              <w:rPr>
                <w:sz w:val="18"/>
              </w:rPr>
              <w:t>Retry using vendor-supported idempotency and receipt lookup, or reconcile before repeat effect. HTTP 2xx meaning must be contractual.</w:t>
            </w:r>
          </w:p>
        </w:tc>
      </w:tr>
      <w:tr>
        <w:tc>
          <w:tcPr>
            <w:tcW w:type="dxa" w:w="5112"/>
          </w:tcPr>
          <w:p>
            <w:r>
              <w:rPr>
                <w:sz w:val="18"/>
              </w:rPr>
              <w:t>Broker / AZ disruption</w:t>
            </w:r>
          </w:p>
        </w:tc>
        <w:tc>
          <w:tcPr>
            <w:tcW w:type="dxa" w:w="5112"/>
          </w:tcPr>
          <w:p>
            <w:r>
              <w:rPr>
                <w:sz w:val="18"/>
              </w:rPr>
              <w:t>Replication and tested client retries; monitor ISR/unavailable partitions; no untested zero-loss or availability guarantee.</w:t>
            </w:r>
          </w:p>
        </w:tc>
      </w:tr>
      <w:tr>
        <w:tc>
          <w:tcPr>
            <w:tcW w:type="dxa" w:w="5112"/>
          </w:tcPr>
          <w:p>
            <w:r>
              <w:rPr>
                <w:sz w:val="18"/>
              </w:rPr>
              <w:t>Security compromise</w:t>
            </w:r>
          </w:p>
        </w:tc>
        <w:tc>
          <w:tcPr>
            <w:tcW w:type="dxa" w:w="5112"/>
          </w:tcPr>
          <w:p>
            <w:r>
              <w:rPr>
                <w:sz w:val="18"/>
              </w:rPr>
              <w:t>Contain affected subscription, identities and connections; preserve evidence; coordinate notification and reauthorization.</w:t>
            </w:r>
          </w:p>
        </w:tc>
      </w:tr>
      <w:tr>
        <w:tc>
          <w:tcPr>
            <w:tcW w:type="dxa" w:w="5112"/>
          </w:tcPr>
          <w:p>
            <w:r>
              <w:rPr>
                <w:sz w:val="18"/>
              </w:rPr>
              <w:t>Schema change / replay incompatibility</w:t>
            </w:r>
          </w:p>
        </w:tc>
        <w:tc>
          <w:tcPr>
            <w:tcW w:type="dxa" w:w="5112"/>
          </w:tcPr>
          <w:p>
            <w:r>
              <w:rPr>
                <w:sz w:val="18"/>
              </w:rPr>
              <w:t>Compatibility gate; retain decoder/mapping support or provide versioned repair strategy; vendor certification before breaking change.</w:t>
            </w:r>
          </w:p>
        </w:tc>
      </w:tr>
    </w:tbl>
    <w:p>
      <w:r>
        <w:t>Replay requires an approved range/run, entitlement recheck, compatible schema, target idempotency and rate limit, with audited request/execution/outcome. Quarantine is unresolved work, not synchronization success. For critical healthcare workflows, define whether to stop a partition, an entity or the entire subscription rather than universally skipping errors.</w:t>
      </w:r>
    </w:p>
    <w:p>
      <w:r>
        <w:t>Reconciliation: enterprise proves publication scope against source/run evidence; vendor proves accepted and applied scope with controlled counts/identifiers/versions. Compare within privacy-approved boundaries; classify missing, duplicate, rejected and stale records; close repairs with evidence. Lag is not a completeness proof.</w:t>
      </w:r>
    </w:p>
    <w:p>
      <w:r>
        <w:t>Initial baseline: create a consistent cut, preserve concurrent changes, deliver baseline plus subsequent deltas and reconcile. Daily runs need snapshot/delta designation, cutoff, run ID and partition-aware completion evidence. Absence means deletion only when explicitly contracted. These controls support the drawn publication step, not a separate pattern design.</w:t>
      </w:r>
    </w:p>
    <w:p>
      <w:pPr>
        <w:pStyle w:val="Heading1"/>
      </w:pPr>
      <w:r>
        <w:t>8. Pros and cons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Option</w:t>
            </w:r>
          </w:p>
        </w:tc>
        <w:tc>
          <w:tcPr>
            <w:tcW w:type="dxa" w:w="3408"/>
          </w:tcPr>
          <w:p>
            <w:r>
              <w:rPr>
                <w:sz w:val="18"/>
              </w:rPr>
              <w:t>Benefits</w:t>
            </w:r>
          </w:p>
        </w:tc>
        <w:tc>
          <w:tcPr>
            <w:tcW w:type="dxa" w:w="3408"/>
          </w:tcPr>
          <w:p>
            <w:r>
              <w:rPr>
                <w:sz w:val="18"/>
              </w:rPr>
              <w:t>Limitations / costs</w:t>
            </w:r>
          </w:p>
        </w:tc>
      </w:tr>
      <w:tr>
        <w:tc>
          <w:tcPr>
            <w:tcW w:type="dxa" w:w="3408"/>
          </w:tcPr>
          <w:p>
            <w:r>
              <w:rPr>
                <w:sz w:val="18"/>
              </w:rPr>
              <w:t>7A direct Kafka</w:t>
            </w:r>
          </w:p>
        </w:tc>
        <w:tc>
          <w:tcPr>
            <w:tcW w:type="dxa" w:w="3408"/>
          </w:tcPr>
          <w:p>
            <w:r>
              <w:rPr>
                <w:sz w:val="18"/>
              </w:rPr>
              <w:t>Vendor-owned consumption pace; fewer enterprise delivery applications; independent group recovery; efficient event streaming.</w:t>
            </w:r>
          </w:p>
        </w:tc>
        <w:tc>
          <w:tcPr>
            <w:tcW w:type="dxa" w:w="3408"/>
          </w:tcPr>
          <w:p>
            <w:r>
              <w:rPr>
                <w:sz w:val="18"/>
              </w:rPr>
              <w:t>Requires vendor Kafka/network/security maturity; broader integration boundary; vendor target freshness remains separately observable.</w:t>
            </w:r>
          </w:p>
        </w:tc>
      </w:tr>
      <w:tr>
        <w:tc>
          <w:tcPr>
            <w:tcW w:type="dxa" w:w="3408"/>
          </w:tcPr>
          <w:p>
            <w:r>
              <w:rPr>
                <w:sz w:val="18"/>
              </w:rPr>
              <w:t>7B relay API push</w:t>
            </w:r>
          </w:p>
        </w:tc>
        <w:tc>
          <w:tcPr>
            <w:tcW w:type="dxa" w:w="3408"/>
          </w:tcPr>
          <w:p>
            <w:r>
              <w:rPr>
                <w:sz w:val="18"/>
              </w:rPr>
              <w:t>Supports vendors lacking Kafka; enterprise controls external delivery interface, translations and API telemetry.</w:t>
            </w:r>
          </w:p>
        </w:tc>
        <w:tc>
          <w:tcPr>
            <w:tcW w:type="dxa" w:w="3408"/>
          </w:tcPr>
          <w:p>
            <w:r>
              <w:rPr>
                <w:sz w:val="18"/>
              </w:rPr>
              <w:t>Enterprise operates additional state/runtime; rate limits and ambiguous responses; more recovery/support cost; vendor acceptance still not application.</w:t>
            </w:r>
          </w:p>
        </w:tc>
      </w:tr>
      <w:tr>
        <w:tc>
          <w:tcPr>
            <w:tcW w:type="dxa" w:w="3408"/>
          </w:tcPr>
          <w:p>
            <w:r>
              <w:rPr>
                <w:sz w:val="18"/>
              </w:rPr>
              <w:t>Shared event design</w:t>
            </w:r>
          </w:p>
        </w:tc>
        <w:tc>
          <w:tcPr>
            <w:tcW w:type="dxa" w:w="3408"/>
          </w:tcPr>
          <w:p>
            <w:r>
              <w:rPr>
                <w:sz w:val="18"/>
              </w:rPr>
              <w:t>Publication independent of vendor readiness; reusable governed contracts; replay and independent consumers.</w:t>
            </w:r>
          </w:p>
        </w:tc>
        <w:tc>
          <w:tcPr>
            <w:tcW w:type="dxa" w:w="3408"/>
          </w:tcPr>
          <w:p>
            <w:r>
              <w:rPr>
                <w:sz w:val="18"/>
              </w:rPr>
              <w:t>Eventual consistency, finite retention, duplicate/order/delete handling, schema evolution and multi-vendor entitlement management.</w:t>
            </w:r>
          </w:p>
        </w:tc>
      </w:tr>
      <w:tr>
        <w:tc>
          <w:tcPr>
            <w:tcW w:type="dxa" w:w="3408"/>
          </w:tcPr>
          <w:p>
            <w:r>
              <w:rPr>
                <w:sz w:val="18"/>
              </w:rPr>
              <w:t>Durable inbox model</w:t>
            </w:r>
          </w:p>
        </w:tc>
        <w:tc>
          <w:tcPr>
            <w:tcW w:type="dxa" w:w="3408"/>
          </w:tcPr>
          <w:p>
            <w:r>
              <w:rPr>
                <w:sz w:val="18"/>
              </w:rPr>
              <w:t>Decouples target slowness from Kafka polling; supports slow/multi-stage workflows.</w:t>
            </w:r>
          </w:p>
        </w:tc>
        <w:tc>
          <w:tcPr>
            <w:tcW w:type="dxa" w:w="3408"/>
          </w:tcPr>
          <w:p>
            <w:r>
              <w:rPr>
                <w:sz w:val="18"/>
              </w:rPr>
              <w:t>Two backlogs/positions; low Kafka lag can mask business staleness; durable inbox security and recovery become critical.</w:t>
            </w:r>
          </w:p>
        </w:tc>
      </w:tr>
    </w:tbl>
    <w:p>
      <w:pPr>
        <w:pStyle w:val="Heading1"/>
      </w:pPr>
      <w:r>
        <w:t>9. Enterprise SLA and SLO proposal</w:t>
      </w:r>
    </w:p>
    <w:p>
      <w:r>
        <w:t>SLOs are operational objectives; an SLA is an approved contractual commitment with measurement rules and remedies. The following values are illustrative candidates, not AWS service terms, measured results or promises. Benchmark representative volumes, certify vendor dependencies, obtain owner approval and test recovery before contracting.</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Measure</w:t>
            </w:r>
          </w:p>
        </w:tc>
        <w:tc>
          <w:tcPr>
            <w:tcW w:type="dxa" w:w="3408"/>
          </w:tcPr>
          <w:p>
            <w:r>
              <w:rPr>
                <w:sz w:val="18"/>
              </w:rPr>
              <w:t>Definition / proposed starting objective</w:t>
            </w:r>
          </w:p>
        </w:tc>
        <w:tc>
          <w:tcPr>
            <w:tcW w:type="dxa" w:w="3408"/>
          </w:tcPr>
          <w:p>
            <w:r>
              <w:rPr>
                <w:sz w:val="18"/>
              </w:rPr>
              <w:t>Boundary / owner</w:t>
            </w:r>
          </w:p>
        </w:tc>
      </w:tr>
      <w:tr>
        <w:tc>
          <w:tcPr>
            <w:tcW w:type="dxa" w:w="3408"/>
          </w:tcPr>
          <w:p>
            <w:r>
              <w:rPr>
                <w:sz w:val="18"/>
              </w:rPr>
              <w:t>Publication availability</w:t>
            </w:r>
          </w:p>
        </w:tc>
        <w:tc>
          <w:tcPr>
            <w:tcW w:type="dxa" w:w="3408"/>
          </w:tcPr>
          <w:p>
            <w:r>
              <w:rPr>
                <w:sz w:val="18"/>
              </w:rPr>
              <w:t>Proposed 99.9% monthly availability of the defined authorized publish/read service. Use synthetic checks and measured eligible intervals.</w:t>
            </w:r>
          </w:p>
        </w:tc>
        <w:tc>
          <w:tcPr>
            <w:tcW w:type="dxa" w:w="3408"/>
          </w:tcPr>
          <w:p>
            <w:r>
              <w:rPr>
                <w:sz w:val="18"/>
              </w:rPr>
              <w:t>Enterprise service boundary; specify Region, network, identity and exclusions. Separate control-plane versus data-plane availability.</w:t>
            </w:r>
          </w:p>
        </w:tc>
      </w:tr>
      <w:tr>
        <w:tc>
          <w:tcPr>
            <w:tcW w:type="dxa" w:w="3408"/>
          </w:tcPr>
          <w:p>
            <w:r>
              <w:rPr>
                <w:sz w:val="18"/>
              </w:rPr>
              <w:t>Publication freshness</w:t>
            </w:r>
          </w:p>
        </w:tc>
        <w:tc>
          <w:tcPr>
            <w:tcW w:type="dxa" w:w="3408"/>
          </w:tcPr>
          <w:p>
            <w:r>
              <w:rPr>
                <w:sz w:val="18"/>
              </w:rPr>
              <w:t>Proposed p95 ≤ 5 minutes, p99 ≤ 15 minutes from eligible source commit to authorized topic availability.</w:t>
            </w:r>
          </w:p>
        </w:tc>
        <w:tc>
          <w:tcPr>
            <w:tcW w:type="dxa" w:w="3408"/>
          </w:tcPr>
          <w:p>
            <w:r>
              <w:rPr>
                <w:sz w:val="18"/>
              </w:rPr>
              <w:t>Enterprise source + integration + platform, not vendor application.</w:t>
            </w:r>
          </w:p>
        </w:tc>
      </w:tr>
      <w:tr>
        <w:tc>
          <w:tcPr>
            <w:tcW w:type="dxa" w:w="3408"/>
          </w:tcPr>
          <w:p>
            <w:r>
              <w:rPr>
                <w:sz w:val="18"/>
              </w:rPr>
              <w:t>Daily feed if contracted</w:t>
            </w:r>
          </w:p>
        </w:tc>
        <w:tc>
          <w:tcPr>
            <w:tcW w:type="dxa" w:w="3408"/>
          </w:tcPr>
          <w:p>
            <w:r>
              <w:rPr>
                <w:sz w:val="18"/>
              </w:rPr>
              <w:t>Complete by agreed daily cutoff with manifest and completeness evidence.</w:t>
            </w:r>
          </w:p>
        </w:tc>
        <w:tc>
          <w:tcPr>
            <w:tcW w:type="dxa" w:w="3408"/>
          </w:tcPr>
          <w:p>
            <w:r>
              <w:rPr>
                <w:sz w:val="18"/>
              </w:rPr>
              <w:t>Alternative to streaming freshness for daily service; do not promise continuous freshness for a daily-only feed.</w:t>
            </w:r>
          </w:p>
        </w:tc>
      </w:tr>
      <w:tr>
        <w:tc>
          <w:tcPr>
            <w:tcW w:type="dxa" w:w="3408"/>
          </w:tcPr>
          <w:p>
            <w:r>
              <w:rPr>
                <w:sz w:val="18"/>
              </w:rPr>
              <w:t>Replay window</w:t>
            </w:r>
          </w:p>
        </w:tc>
        <w:tc>
          <w:tcPr>
            <w:tcW w:type="dxa" w:w="3408"/>
          </w:tcPr>
          <w:p>
            <w:r>
              <w:rPr>
                <w:sz w:val="18"/>
              </w:rPr>
              <w:t>Proposed 14 days of supported recovery history, capacity- and privacy-approved.</w:t>
            </w:r>
          </w:p>
        </w:tc>
        <w:tc>
          <w:tcPr>
            <w:tcW w:type="dxa" w:w="3408"/>
          </w:tcPr>
          <w:p>
            <w:r>
              <w:rPr>
                <w:sz w:val="18"/>
              </w:rPr>
              <w:t>Enterprise; specify size/time deletion and offset retention, recovery request process and beyond-window service.</w:t>
            </w:r>
          </w:p>
        </w:tc>
      </w:tr>
      <w:tr>
        <w:tc>
          <w:tcPr>
            <w:tcW w:type="dxa" w:w="3408"/>
          </w:tcPr>
          <w:p>
            <w:r>
              <w:rPr>
                <w:sz w:val="18"/>
              </w:rPr>
              <w:t>Relay delivery if 7B</w:t>
            </w:r>
          </w:p>
        </w:tc>
        <w:tc>
          <w:tcPr>
            <w:tcW w:type="dxa" w:w="3408"/>
          </w:tcPr>
          <w:p>
            <w:r>
              <w:rPr>
                <w:sz w:val="18"/>
              </w:rPr>
              <w:t>Define availability and accepted-delivery latency after API throughput/uptime certification; no numerical commitment yet.</w:t>
            </w:r>
          </w:p>
        </w:tc>
        <w:tc>
          <w:tcPr>
            <w:tcW w:type="dxa" w:w="3408"/>
          </w:tcPr>
          <w:p>
            <w:r>
              <w:rPr>
                <w:sz w:val="18"/>
              </w:rPr>
              <w:t>Enterprise relay performance plus explicit vendor API dependency; distinguish retry backlog from topic publication.</w:t>
            </w:r>
          </w:p>
        </w:tc>
      </w:tr>
      <w:tr>
        <w:tc>
          <w:tcPr>
            <w:tcW w:type="dxa" w:w="3408"/>
          </w:tcPr>
          <w:p>
            <w:r>
              <w:rPr>
                <w:sz w:val="18"/>
              </w:rPr>
              <w:t>Vendor applied freshness</w:t>
            </w:r>
          </w:p>
        </w:tc>
        <w:tc>
          <w:tcPr>
            <w:tcW w:type="dxa" w:w="3408"/>
          </w:tcPr>
          <w:p>
            <w:r>
              <w:rPr>
                <w:sz w:val="18"/>
              </w:rPr>
              <w:t>Negotiate target application deadline/percentiles and evidence; no inference from Kafka offsets.</w:t>
            </w:r>
          </w:p>
        </w:tc>
        <w:tc>
          <w:tcPr>
            <w:tcW w:type="dxa" w:w="3408"/>
          </w:tcPr>
          <w:p>
            <w:r>
              <w:rPr>
                <w:sz w:val="18"/>
              </w:rPr>
              <w:t>Vendor; end-to-end reporting requires trusted applied status.</w:t>
            </w:r>
          </w:p>
        </w:tc>
      </w:tr>
      <w:tr>
        <w:tc>
          <w:tcPr>
            <w:tcW w:type="dxa" w:w="3408"/>
          </w:tcPr>
          <w:p>
            <w:r>
              <w:rPr>
                <w:sz w:val="18"/>
              </w:rPr>
              <w:t>Critical incident response</w:t>
            </w:r>
          </w:p>
        </w:tc>
        <w:tc>
          <w:tcPr>
            <w:tcW w:type="dxa" w:w="3408"/>
          </w:tcPr>
          <w:p>
            <w:r>
              <w:rPr>
                <w:sz w:val="18"/>
              </w:rPr>
              <w:t>Proposed 15-minute acknowledgment only for a staffed 24×7 tier.</w:t>
            </w:r>
          </w:p>
        </w:tc>
        <w:tc>
          <w:tcPr>
            <w:tcW w:type="dxa" w:w="3408"/>
          </w:tcPr>
          <w:p>
            <w:r>
              <w:rPr>
                <w:sz w:val="18"/>
              </w:rPr>
              <w:t>Response is not restoration; establish contact/escalation and update cadence.</w:t>
            </w:r>
          </w:p>
        </w:tc>
      </w:tr>
      <w:tr>
        <w:tc>
          <w:tcPr>
            <w:tcW w:type="dxa" w:w="3408"/>
          </w:tcPr>
          <w:p>
            <w:r>
              <w:rPr>
                <w:sz w:val="18"/>
              </w:rPr>
              <w:t>Recovery RTO/RPO</w:t>
            </w:r>
          </w:p>
        </w:tc>
        <w:tc>
          <w:tcPr>
            <w:tcW w:type="dxa" w:w="3408"/>
          </w:tcPr>
          <w:p>
            <w:r>
              <w:rPr>
                <w:sz w:val="18"/>
              </w:rPr>
              <w:t>Set only after outage, restoration and position-reconciliation tests.</w:t>
            </w:r>
          </w:p>
        </w:tc>
        <w:tc>
          <w:tcPr>
            <w:tcW w:type="dxa" w:w="3408"/>
          </w:tcPr>
          <w:p>
            <w:r>
              <w:rPr>
                <w:sz w:val="18"/>
              </w:rPr>
              <w:t>Each party owns its boundary. Kafka durability settings alone do not establish regional recovery objectives.</w:t>
            </w:r>
          </w:p>
        </w:tc>
      </w:tr>
      <w:tr>
        <w:tc>
          <w:tcPr>
            <w:tcW w:type="dxa" w:w="3408"/>
          </w:tcPr>
          <w:p>
            <w:r>
              <w:rPr>
                <w:sz w:val="18"/>
              </w:rPr>
              <w:t>Completeness / repair</w:t>
            </w:r>
          </w:p>
        </w:tc>
        <w:tc>
          <w:tcPr>
            <w:tcW w:type="dxa" w:w="3408"/>
          </w:tcPr>
          <w:p>
            <w:r>
              <w:rPr>
                <w:sz w:val="18"/>
              </w:rPr>
              <w:t>Require auditable reconciliation for each agreed publication window; set repair deadline by clinical impact.</w:t>
            </w:r>
          </w:p>
        </w:tc>
        <w:tc>
          <w:tcPr>
            <w:tcW w:type="dxa" w:w="3408"/>
          </w:tcPr>
          <w:p>
            <w:r>
              <w:rPr>
                <w:sz w:val="18"/>
              </w:rPr>
              <w:t>Enterprise publication completeness and vendor application completeness are distinct measures.</w:t>
            </w:r>
          </w:p>
        </w:tc>
      </w:tr>
    </w:tbl>
    <w:p>
      <w:r>
        <w:t>Measurement clocks: T0 source commit; T1 governed topic available; T2 durable vendor acceptance; T3 vendor target applied; T4 enterprise return status received. Publication = T1−T0, delivery = T2−T1, vendor processing = T3−T2, end-to-end = T3−T0. Agree clock synchronization, status evidence, sampling/percentiles and handling of invalid/out-of-scope records.</w:t>
      </w:r>
    </w:p>
    <w:p>
      <w:pPr>
        <w:pStyle w:val="ListBullet"/>
      </w:pPr>
      <w:r>
        <w:t>Define denominator, eligible requests/events, support hours, maintenance rules, maximum volume/record size, dependencies, exclusions, remedies and escalation.</w:t>
      </w:r>
    </w:p>
    <w:p>
      <w:pPr>
        <w:pStyle w:val="ListBullet"/>
      </w:pPr>
      <w:r>
        <w:t>Retention planning: maximum vendor outage + detection + repair + catch-up + safety margin. Recovery consumption must exceed arrival rate to drain backlog.</w:t>
      </w:r>
    </w:p>
    <w:p>
      <w:pPr>
        <w:pStyle w:val="ListBullet"/>
      </w:pPr>
      <w:r>
        <w:t>Without vendor business-applied evidence, enterprise commits to authorized publication and defined recovery—not verified synchronization of the vendor target.</w:t>
      </w:r>
    </w:p>
    <w:p>
      <w:pPr>
        <w:pStyle w:val="ListBullet"/>
      </w:pPr>
      <w:r>
        <w:t>Determine clinical business criticality and acceptable eventual consistency before committing timelines. Source/data defects, security incidents and disaster recovery need explicit handling rather than vague exclusions.</w:t>
      </w:r>
    </w:p>
    <w:p>
      <w:pPr>
        <w:pStyle w:val="Heading1"/>
      </w:pPr>
      <w:r>
        <w:t>10. Security requirements imposed on vendor systems</w:t>
      </w:r>
    </w:p>
    <w:p>
      <w:r>
        <w:t>These are proposed enterprise admission/contract controls. Legal/privacy counsel must determine the applicable relationship, BAA and legal requirements. HHS describes required business-associate safeguards, permitted use/disclosure, incident reporting, subcontractor obligations and feasible return/destruction at termination. [H1][H2]</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Category</w:t>
            </w:r>
          </w:p>
        </w:tc>
        <w:tc>
          <w:tcPr>
            <w:tcW w:type="dxa" w:w="5112"/>
          </w:tcPr>
          <w:p>
            <w:r>
              <w:rPr>
                <w:sz w:val="18"/>
              </w:rPr>
              <w:t>Required vendor evidence / commitment</w:t>
            </w:r>
          </w:p>
        </w:tc>
      </w:tr>
      <w:tr>
        <w:tc>
          <w:tcPr>
            <w:tcW w:type="dxa" w:w="5112"/>
          </w:tcPr>
          <w:p>
            <w:r>
              <w:rPr>
                <w:sz w:val="18"/>
              </w:rPr>
              <w:t>Permitted use / PHI</w:t>
            </w:r>
          </w:p>
        </w:tc>
        <w:tc>
          <w:tcPr>
            <w:tcW w:type="dxa" w:w="5112"/>
          </w:tcPr>
          <w:p>
            <w:r>
              <w:rPr>
                <w:sz w:val="18"/>
              </w:rPr>
              <w:t>Approved purpose/population/fields; BAA where required; no independent secondary use or model training without explicit authorization; approved locations and subprocessors. [H1]</w:t>
            </w:r>
          </w:p>
        </w:tc>
      </w:tr>
      <w:tr>
        <w:tc>
          <w:tcPr>
            <w:tcW w:type="dxa" w:w="5112"/>
          </w:tcPr>
          <w:p>
            <w:r>
              <w:rPr>
                <w:sz w:val="18"/>
              </w:rPr>
              <w:t>Identity</w:t>
            </w:r>
          </w:p>
        </w:tc>
        <w:tc>
          <w:tcPr>
            <w:tcW w:type="dxa" w:w="5112"/>
          </w:tcPr>
          <w:p>
            <w:r>
              <w:rPr>
                <w:sz w:val="18"/>
              </w:rPr>
              <w:t>Dedicated attributable workload identities; MFA for human administration; least privilege; approved authentication; automated renewal/rotation; no shared production secrets.</w:t>
            </w:r>
          </w:p>
        </w:tc>
      </w:tr>
      <w:tr>
        <w:tc>
          <w:tcPr>
            <w:tcW w:type="dxa" w:w="5112"/>
          </w:tcPr>
          <w:p>
            <w:r>
              <w:rPr>
                <w:sz w:val="18"/>
              </w:rPr>
              <w:t>Network / encryption</w:t>
            </w:r>
          </w:p>
        </w:tc>
        <w:tc>
          <w:tcPr>
            <w:tcW w:type="dxa" w:w="5112"/>
          </w:tcPr>
          <w:p>
            <w:r>
              <w:rPr>
                <w:sz w:val="18"/>
              </w:rPr>
              <w:t>Approved private or otherwise explicitly approved secure route; encryption in transit/at rest; certificate validation; controlled egress; documented key/secret management.</w:t>
            </w:r>
          </w:p>
        </w:tc>
      </w:tr>
      <w:tr>
        <w:tc>
          <w:tcPr>
            <w:tcW w:type="dxa" w:w="5112"/>
          </w:tcPr>
          <w:p>
            <w:r>
              <w:rPr>
                <w:sz w:val="18"/>
              </w:rPr>
              <w:t>Isolation / hardening</w:t>
            </w:r>
          </w:p>
        </w:tc>
        <w:tc>
          <w:tcPr>
            <w:tcW w:type="dxa" w:w="5112"/>
          </w:tcPr>
          <w:p>
            <w:r>
              <w:rPr>
                <w:sz w:val="18"/>
              </w:rPr>
              <w:t>Environment/customer separation, supported patched runtime, vulnerability/dependency management and restricted privileged access.</w:t>
            </w:r>
          </w:p>
        </w:tc>
      </w:tr>
      <w:tr>
        <w:tc>
          <w:tcPr>
            <w:tcW w:type="dxa" w:w="5112"/>
          </w:tcPr>
          <w:p>
            <w:r>
              <w:rPr>
                <w:sz w:val="18"/>
              </w:rPr>
              <w:t>Data handling</w:t>
            </w:r>
          </w:p>
        </w:tc>
        <w:tc>
          <w:tcPr>
            <w:tcW w:type="dxa" w:w="5112"/>
          </w:tcPr>
          <w:p>
            <w:r>
              <w:rPr>
                <w:sz w:val="18"/>
              </w:rPr>
              <w:t>PHI-safe logs/traces/tickets; restricted inbox/quarantine/backup access; retention/deletion enforcement and prohibited nonproduction copies.</w:t>
            </w:r>
          </w:p>
        </w:tc>
      </w:tr>
      <w:tr>
        <w:tc>
          <w:tcPr>
            <w:tcW w:type="dxa" w:w="5112"/>
          </w:tcPr>
          <w:p>
            <w:r>
              <w:rPr>
                <w:sz w:val="18"/>
              </w:rPr>
              <w:t>Correctness / resilience</w:t>
            </w:r>
          </w:p>
        </w:tc>
        <w:tc>
          <w:tcPr>
            <w:tcW w:type="dxa" w:w="5112"/>
          </w:tcPr>
          <w:p>
            <w:r>
              <w:rPr>
                <w:sz w:val="18"/>
              </w:rPr>
              <w:t>Durable receipt and applied state, idempotency, version/delete/correction handling, bounded queues, safe rebalance/restart, replay and tested backup restoration.</w:t>
            </w:r>
          </w:p>
        </w:tc>
      </w:tr>
      <w:tr>
        <w:tc>
          <w:tcPr>
            <w:tcW w:type="dxa" w:w="5112"/>
          </w:tcPr>
          <w:p>
            <w:r>
              <w:rPr>
                <w:sz w:val="18"/>
              </w:rPr>
              <w:t>Monitoring</w:t>
            </w:r>
          </w:p>
        </w:tc>
        <w:tc>
          <w:tcPr>
            <w:tcW w:type="dxa" w:w="5112"/>
          </w:tcPr>
          <w:p>
            <w:r>
              <w:rPr>
                <w:sz w:val="18"/>
              </w:rPr>
              <w:t>Publish agreed delivery and applied-freshness telemetry, inbox/quarantine age and security/authentication alarms; named owner for retained-history risk.</w:t>
            </w:r>
          </w:p>
        </w:tc>
      </w:tr>
      <w:tr>
        <w:tc>
          <w:tcPr>
            <w:tcW w:type="dxa" w:w="5112"/>
          </w:tcPr>
          <w:p>
            <w:r>
              <w:rPr>
                <w:sz w:val="18"/>
              </w:rPr>
              <w:t>Incident response</w:t>
            </w:r>
          </w:p>
        </w:tc>
        <w:tc>
          <w:tcPr>
            <w:tcW w:type="dxa" w:w="5112"/>
          </w:tcPr>
          <w:p>
            <w:r>
              <w:rPr>
                <w:sz w:val="18"/>
              </w:rPr>
              <w:t>Named 24×7 contacts if contracted, prompt negotiated notifications, evidence preservation and coordinated containment/recovery. Do not present negotiated timelines as statutory deadlines. [H1][H2]</w:t>
            </w:r>
          </w:p>
        </w:tc>
      </w:tr>
      <w:tr>
        <w:tc>
          <w:tcPr>
            <w:tcW w:type="dxa" w:w="5112"/>
          </w:tcPr>
          <w:p>
            <w:r>
              <w:rPr>
                <w:sz w:val="18"/>
              </w:rPr>
              <w:t>Subprocessors / assurance</w:t>
            </w:r>
          </w:p>
        </w:tc>
        <w:tc>
          <w:tcPr>
            <w:tcW w:type="dxa" w:w="5112"/>
          </w:tcPr>
          <w:p>
            <w:r>
              <w:rPr>
                <w:sz w:val="18"/>
              </w:rPr>
              <w:t>Disclose material third-party processing, obtain required flow-down safeguards, provide relevant assurance/testing evidence. A SOC report alone is not integration certification. [H1]</w:t>
            </w:r>
          </w:p>
        </w:tc>
      </w:tr>
      <w:tr>
        <w:tc>
          <w:tcPr>
            <w:tcW w:type="dxa" w:w="5112"/>
          </w:tcPr>
          <w:p>
            <w:r>
              <w:rPr>
                <w:sz w:val="18"/>
              </w:rPr>
              <w:t>Offboarding</w:t>
            </w:r>
          </w:p>
        </w:tc>
        <w:tc>
          <w:tcPr>
            <w:tcW w:type="dxa" w:w="5112"/>
          </w:tcPr>
          <w:p>
            <w:r>
              <w:rPr>
                <w:sz w:val="18"/>
              </w:rPr>
              <w:t>Stop new processing at agreed cutoff; revoke workload/network access; return/destroy data where required/feasible; document approved exceptions and remaining protections. [H1]</w:t>
            </w:r>
          </w:p>
        </w:tc>
      </w:tr>
    </w:tbl>
    <w:p>
      <w:pPr>
        <w:pStyle w:val="Heading1"/>
      </w:pPr>
      <w:r>
        <w:t>11. Production acceptance and final decisions</w:t>
      </w:r>
    </w:p>
    <w:p>
      <w:pPr>
        <w:pStyle w:val="ListBullet"/>
      </w:pPr>
      <w:r>
        <w:t>Confirm vendor 7A or 7B capability, network/authentication, supported schema and return interface; mark all vendor-dependent paths conditional until certified.</w:t>
      </w:r>
    </w:p>
    <w:p>
      <w:pPr>
        <w:pStyle w:val="ListBullet"/>
      </w:pPr>
      <w:r>
        <w:t>Choose apply-before-commit versus inbox-before-commit and define exact acceptance/application semantics for both branches.</w:t>
      </w:r>
    </w:p>
    <w:p>
      <w:pPr>
        <w:pStyle w:val="ListBullet"/>
      </w:pPr>
      <w:r>
        <w:t>Correct XML wiring and ownership; remove unverified AI labels; add relay intake and enterprise-owned relay checkpoint.</w:t>
      </w:r>
    </w:p>
    <w:p>
      <w:pPr>
        <w:pStyle w:val="ListBullet"/>
      </w:pPr>
      <w:r>
        <w:t>Test cross-vendor/topic/group access denial, credential rotation/revocation, duplicate replay, crash-after-apply, rebalance, slow target/backpressure and poison events.</w:t>
      </w:r>
    </w:p>
    <w:p>
      <w:pPr>
        <w:pStyle w:val="ListBullet"/>
      </w:pPr>
      <w:r>
        <w:t>Test initial load continuity, late/update/delete/correction handling, schema evolution, incomplete daily runs where applicable and retention expiry without silent skipping.</w:t>
      </w:r>
    </w:p>
    <w:p>
      <w:pPr>
        <w:pStyle w:val="ListBullet"/>
      </w:pPr>
      <w:r>
        <w:t>Test publication completeness and vendor application reconciliation, optional return processing, recovery and offboarding.</w:t>
      </w:r>
    </w:p>
    <w:p>
      <w:pPr>
        <w:pStyle w:val="ListBullet"/>
      </w:pPr>
      <w:r>
        <w:t>Approve data contract, retention, operational owners, monitoring, security obligations and benchmarked service objectives before production.</w:t>
      </w:r>
    </w:p>
    <w:p>
      <w:r>
        <w:t>Final assessment: approve only as a conditional reference architecture until these gates are complete. Enterprise owns accurate authorized publication and its delivery boundary; the vendor owns independent consumption and target synchronization. The relay changes Kafka checkpoint ownership, not the vendor’s business-state ownership.</w:t>
      </w:r>
    </w:p>
    <w:p>
      <w:pPr>
        <w:pStyle w:val="Heading1"/>
      </w:pPr>
      <w:r>
        <w:t>12. Source notes</w:t>
      </w:r>
    </w:p>
    <w:p>
      <w:r>
        <w:t>D1 — User-supplied Runtime Swimlane mxGraphModel XML. Primary evidence for step numbering, connector defects and conditional vendor capabilities. Technical references below support product behavior and healthcare safeguard descriptions; proposed controls and service targets remain recommendations.</w:t>
      </w:r>
    </w:p>
    <w:p>
      <w:r>
        <w:t>A1 — AWS — Configure clients for IAM access control</w:t>
        <w:br/>
        <w:t>https://docs.aws.amazon.com/msk/latest/developerguide/configure-clients-for-iam-access-control.html</w:t>
      </w:r>
    </w:p>
    <w:p>
      <w:r>
        <w:t>A2 — AWS — Default Amazon MSK configuration</w:t>
        <w:br/>
        <w:t>https://docs.aws.amazon.com/msk/latest/developerguide/msk-default-configuration.html</w:t>
      </w:r>
    </w:p>
    <w:p>
      <w:r>
        <w:t>A3 — AWS — Custom Amazon MSK configurations</w:t>
        <w:br/>
        <w:t>https://docs.aws.amazon.com/msk/latest/developerguide/msk-configuration-properties.html</w:t>
      </w:r>
    </w:p>
    <w:p>
      <w:r>
        <w:t>K1 — Apache Kafka — Consumer configurations (4.1; confirm selected client version)</w:t>
        <w:br/>
        <w:t>https://kafka.apache.org/41/configuration/consumer-configs/</w:t>
      </w:r>
    </w:p>
    <w:p>
      <w:r>
        <w:t>H1 — HHS — Business Associate Contracts</w:t>
        <w:br/>
        <w:t>https://www.hhs.gov/hipaa/for-professionals/covered-entities/sample-business-associate-agreement-provisions/index.html</w:t>
      </w:r>
    </w:p>
    <w:p>
      <w:r>
        <w:t>H2 — HHS — Summary of the HIPAA Security Rule</w:t>
        <w:br/>
        <w:t>https://www.hhs.gov/hipaa/for-professionals/security/laws-regulations/index.html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Runtime Swimlane Assessment | Diagram-specific | Proposed architecture — vendor certification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E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3E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