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Runtime Delta Streaming — Final Assessment</w:t>
      </w:r>
    </w:p>
    <w:p>
      <w:r>
        <w:t>Scope: Review of the supplied draw.io XML for enterprise-owned Amazon MSK and vendor synchronization, including Cohere Health. This is a diagram assessment, not vendor capability certification.</w:t>
      </w:r>
    </w:p>
    <w:p>
      <w:pPr>
        <w:pStyle w:val="Heading1"/>
      </w:pPr>
      <w:r>
        <w:t>Assessment</w:t>
      </w:r>
    </w:p>
    <w:p>
      <w:r>
        <w:t>The architecture is a valid conditional reference design, but the supplied diagram needs corrections before implementation. It does not establish that Cohere Health supports direct Kafka access, any specific authentication method, a private ingestion API, or acknowledgment publishing. Those capabilities require vendor confirmation.</w:t>
      </w:r>
    </w:p>
    <w:p>
      <w:pPr>
        <w:pStyle w:val="Heading1"/>
      </w:pPr>
      <w:r>
        <w:t>Delivery paths and ownership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Path</w:t>
            </w:r>
          </w:p>
        </w:tc>
        <w:tc>
          <w:tcPr>
            <w:tcW w:type="dxa" w:w="3360"/>
          </w:tcPr>
          <w:p>
            <w:r>
              <w:t>Architecture</w:t>
            </w:r>
          </w:p>
        </w:tc>
        <w:tc>
          <w:tcPr>
            <w:tcW w:type="dxa" w:w="3360"/>
          </w:tcPr>
          <w:p>
            <w:r>
              <w:t>Checkpoint ownership</w:t>
            </w:r>
          </w:p>
        </w:tc>
      </w:tr>
      <w:tr>
        <w:tc>
          <w:tcPr>
            <w:tcW w:type="dxa" w:w="3360"/>
          </w:tcPr>
          <w:p>
            <w:r>
              <w:t>7A — Direct Kafka</w:t>
            </w:r>
          </w:p>
        </w:tc>
        <w:tc>
          <w:tcPr>
            <w:tcW w:type="dxa" w:w="3360"/>
          </w:tcPr>
          <w:p>
            <w:r>
              <w:t>Vendor operates a Kafka consumer against authorized enterprise MSK topics. Network and authentication choices remain conditional.</w:t>
            </w:r>
          </w:p>
        </w:tc>
        <w:tc>
          <w:tcPr>
            <w:tcW w:type="dxa" w:w="3360"/>
          </w:tcPr>
          <w:p>
            <w:r>
              <w:t>Vendor owns consumer offsets and business synchronization state.</w:t>
            </w:r>
          </w:p>
        </w:tc>
      </w:tr>
      <w:tr>
        <w:tc>
          <w:tcPr>
            <w:tcW w:type="dxa" w:w="3360"/>
          </w:tcPr>
          <w:p>
            <w:r>
              <w:t>7B — Managed relay</w:t>
            </w:r>
          </w:p>
        </w:tc>
        <w:tc>
          <w:tcPr>
            <w:tcW w:type="dxa" w:w="3360"/>
          </w:tcPr>
          <w:p>
            <w:r>
              <w:t>Enterprise operates the Kafka consumer and delivers through a confirmed vendor interface. The supplied diagram specifically shows API push, not vendor API pull.</w:t>
            </w:r>
          </w:p>
        </w:tc>
        <w:tc>
          <w:tcPr>
            <w:tcW w:type="dxa" w:w="3360"/>
          </w:tcPr>
          <w:p>
            <w:r>
              <w:t>Enterprise owns relay delivery state and Kafka offsets; vendor owns target-system synchronization state.</w:t>
            </w:r>
          </w:p>
        </w:tc>
      </w:tr>
    </w:tbl>
    <w:p>
      <w:pPr>
        <w:pStyle w:val="Heading1"/>
      </w:pPr>
      <w:r>
        <w:t>Required diagram corrections</w:t>
      </w:r>
    </w:p>
    <w:p>
      <w:pPr>
        <w:pStyle w:val="ListBullet"/>
      </w:pPr>
      <w:r>
        <w:rPr>
          <w:b/>
        </w:rPr>
        <w:t xml:space="preserve">Fix publication sequence: </w:t>
      </w:r>
      <w:r>
        <w:t>Remove n3 → n1. Change e3 from n1 → n4 to n3 → n4. Intended flow: business commit → capture → governed event → publish → persist/govern.</w:t>
      </w:r>
    </w:p>
    <w:p>
      <w:pPr>
        <w:pStyle w:val="ListBullet"/>
      </w:pPr>
      <w:r>
        <w:rPr>
          <w:b/>
        </w:rPr>
        <w:t xml:space="preserve">Separate offset-commit paths: </w:t>
      </w:r>
      <w:r>
        <w:t>The relay currently rejoins vendor Step 13. Keep vendor Kafka offset commit for 7A; add enterprise relay checkpoint/commit handling for 7B. Define durable acceptance versus business application explicitly.</w:t>
      </w:r>
    </w:p>
    <w:p>
      <w:pPr>
        <w:pStyle w:val="ListBullet"/>
      </w:pPr>
      <w:r>
        <w:rPr>
          <w:b/>
        </w:rPr>
        <w:t xml:space="preserve">Show relay intake controls: </w:t>
      </w:r>
      <w:r>
        <w:t>7B bypasses Step 9. Add vendor intake validation and deduplication, or make those controls common to both delivery paths.</w:t>
      </w:r>
    </w:p>
    <w:p>
      <w:pPr>
        <w:pStyle w:val="ListBullet"/>
      </w:pPr>
      <w:r>
        <w:rPr>
          <w:b/>
        </w:rPr>
        <w:t xml:space="preserve">Use neutral workflow labels: </w:t>
      </w:r>
      <w:r>
        <w:t>Replace unverified AI/agentic labels with vendor transformation and system synchronization. AI processing is not required by this integration pattern.</w:t>
      </w:r>
    </w:p>
    <w:p>
      <w:pPr>
        <w:pStyle w:val="ListBullet"/>
      </w:pPr>
      <w:r>
        <w:rPr>
          <w:b/>
        </w:rPr>
        <w:t xml:space="preserve">Clarify return status: </w:t>
      </w:r>
      <w:r>
        <w:t>Step 14 shows an optional return event, not an acknowledgment API. Confirm the actual return interface; show an enterprise ingress adapter if an API is selected.</w:t>
      </w:r>
    </w:p>
    <w:p>
      <w:pPr>
        <w:pStyle w:val="ListBullet"/>
      </w:pPr>
      <w:r>
        <w:rPr>
          <w:b/>
        </w:rPr>
        <w:t xml:space="preserve">Qualify the position legend: </w:t>
      </w:r>
      <w:r>
        <w:t>A consumer group identifies Kafka delivery progress, not proof of target synchronization. For 7B, the enterprise relay manages the Kafka group; vendor business-applied state remains separate.</w:t>
      </w:r>
    </w:p>
    <w:p>
      <w:pPr>
        <w:pStyle w:val="Heading1"/>
      </w:pPr>
      <w:r>
        <w:t>Vendor confirmation and approval gates</w:t>
      </w:r>
    </w:p>
    <w:p>
      <w:r>
        <w:t>Confirm Kafka client capability; approved network/authentication; available ingestion interface; durable receipt, replay and idempotency behavior; business-applied status reporting; and operational/security responsibilities. Mark Steps 7A, 7B and 14 “subject to vendor confirmation.”</w:t>
      </w:r>
    </w:p>
    <w:p>
      <w:r>
        <w:t>Conclusion: Approve as a reference architecture only after the diagram corrections. Select and certify the delivery path with the vendor before production approval. No Cohere-specific capability or end-to-end synchronization guarantee is established by this XML.</w:t>
      </w:r>
    </w:p>
    <w:p>
      <w:r>
        <w:t>Evidence basis: User-supplied mxGraphModel XML, particularly n6, n7a, n7b, n13–n15, lg1, lg3 and connector definitions. No external vendor capability verification was performed for this assessment.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