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6CF" w:rsidRPr="00A006CF" w:rsidRDefault="00A006CF" w:rsidP="00A006CF">
      <w:pPr>
        <w:spacing w:before="100" w:beforeAutospacing="1" w:after="119" w:line="240" w:lineRule="auto"/>
        <w:jc w:val="both"/>
        <w:outlineLvl w:val="1"/>
        <w:rPr>
          <w:rFonts w:ascii="Verdana" w:eastAsia="Times New Roman" w:hAnsi="Verdana" w:cs="Times New Roman"/>
          <w:b/>
          <w:bCs/>
          <w:lang w:eastAsia="en-IN"/>
        </w:rPr>
      </w:pPr>
      <w:r w:rsidRPr="00A006CF">
        <w:rPr>
          <w:rFonts w:ascii="Verdana" w:eastAsia="Times New Roman" w:hAnsi="Verdana" w:cs="Times New Roman"/>
          <w:b/>
          <w:bCs/>
          <w:color w:val="121214"/>
          <w:lang w:eastAsia="en-IN"/>
        </w:rPr>
        <w:t xml:space="preserve">Annotations in TestNG: </w:t>
      </w:r>
      <w:r w:rsidRPr="00A006CF">
        <w:rPr>
          <w:rFonts w:ascii="Verdana" w:eastAsia="Times New Roman" w:hAnsi="Verdana" w:cs="Times New Roman"/>
          <w:color w:val="000000"/>
          <w:lang w:eastAsia="en-IN"/>
        </w:rPr>
        <w:t>Annotations were formally added to the Java language in JDK 5 and TestNG made the choice to use annotations to annotate test classes. Following are some of the benefits of using annotations. More about TestNG can be found</w:t>
      </w:r>
      <w:r w:rsidRPr="00A006CF">
        <w:rPr>
          <w:rFonts w:ascii="Times New Roman" w:eastAsia="Times New Roman" w:hAnsi="Times New Roman" w:cs="Times New Roman"/>
          <w:b/>
          <w:bCs/>
          <w:lang w:eastAsia="en-IN"/>
        </w:rPr>
        <w:t xml:space="preserve"> </w:t>
      </w:r>
      <w:r w:rsidRPr="00A006CF">
        <w:rPr>
          <w:rFonts w:ascii="Verdana" w:eastAsia="Times New Roman" w:hAnsi="Verdana" w:cs="Times New Roman"/>
          <w:bCs/>
          <w:lang w:eastAsia="en-IN"/>
        </w:rPr>
        <w:t>here</w:t>
      </w:r>
      <w:r>
        <w:rPr>
          <w:rFonts w:ascii="Verdana" w:eastAsia="Times New Roman" w:hAnsi="Verdana" w:cs="Times New Roman"/>
          <w:bCs/>
          <w:lang w:eastAsia="en-IN"/>
        </w:rPr>
        <w:t>.</w:t>
      </w:r>
    </w:p>
    <w:p w:rsidR="00A006CF" w:rsidRPr="00A006CF" w:rsidRDefault="00A006CF" w:rsidP="00A006CF">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A006CF">
        <w:rPr>
          <w:rFonts w:ascii="Verdana" w:eastAsia="Times New Roman" w:hAnsi="Verdana" w:cs="Times New Roman"/>
          <w:color w:val="000000"/>
          <w:lang w:eastAsia="en-IN"/>
        </w:rPr>
        <w:t>TestNG identifies the methods it is interested in by looking up annotations. Hence, method names are not restricted to any pattern or format.</w:t>
      </w:r>
    </w:p>
    <w:p w:rsidR="00A006CF" w:rsidRPr="00A006CF" w:rsidRDefault="00A006CF" w:rsidP="00A006CF">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A006CF">
        <w:rPr>
          <w:rFonts w:ascii="Verdana" w:eastAsia="Times New Roman" w:hAnsi="Verdana" w:cs="Times New Roman"/>
          <w:color w:val="000000"/>
          <w:lang w:eastAsia="en-IN"/>
        </w:rPr>
        <w:t>We can pass additional parameters to annotations.</w:t>
      </w:r>
    </w:p>
    <w:p w:rsidR="00A006CF" w:rsidRPr="00A006CF" w:rsidRDefault="00A006CF" w:rsidP="00A006CF">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A006CF">
        <w:rPr>
          <w:rFonts w:ascii="Verdana" w:eastAsia="Times New Roman" w:hAnsi="Verdana" w:cs="Times New Roman"/>
          <w:color w:val="000000"/>
          <w:lang w:eastAsia="en-IN"/>
        </w:rPr>
        <w:t>Annotations are strongly typed, so the compiler will flag any mistakes right away.</w:t>
      </w:r>
    </w:p>
    <w:p w:rsidR="00A006CF" w:rsidRPr="00A006CF" w:rsidRDefault="00A006CF" w:rsidP="00A006CF">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A006CF">
        <w:rPr>
          <w:rFonts w:ascii="Verdana" w:eastAsia="Times New Roman" w:hAnsi="Verdana" w:cs="Times New Roman"/>
          <w:color w:val="000000"/>
          <w:lang w:eastAsia="en-IN"/>
        </w:rPr>
        <w:t>Test classes no longer need to extend anything (such as Test Case, for JUnit 3).</w:t>
      </w:r>
    </w:p>
    <w:tbl>
      <w:tblPr>
        <w:tblW w:w="964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800"/>
        <w:gridCol w:w="7845"/>
      </w:tblGrid>
      <w:tr w:rsidR="00A006CF" w:rsidRPr="00A006CF" w:rsidTr="00A006CF">
        <w:trPr>
          <w:tblCellSpacing w:w="0" w:type="dxa"/>
        </w:trPr>
        <w:tc>
          <w:tcPr>
            <w:tcW w:w="1755" w:type="dxa"/>
            <w:shd w:val="clear" w:color="auto" w:fill="EEEEEE"/>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b/>
                <w:bCs/>
                <w:sz w:val="24"/>
                <w:szCs w:val="24"/>
                <w:lang w:eastAsia="en-IN"/>
              </w:rPr>
            </w:pPr>
            <w:r w:rsidRPr="00A006CF">
              <w:rPr>
                <w:rFonts w:ascii="Times New Roman" w:eastAsia="Times New Roman" w:hAnsi="Times New Roman" w:cs="Times New Roman"/>
                <w:b/>
                <w:bCs/>
                <w:sz w:val="24"/>
                <w:szCs w:val="24"/>
                <w:lang w:eastAsia="en-IN"/>
              </w:rPr>
              <w:t>Annotation</w:t>
            </w:r>
          </w:p>
        </w:tc>
        <w:tc>
          <w:tcPr>
            <w:tcW w:w="7770" w:type="dxa"/>
            <w:shd w:val="clear" w:color="auto" w:fill="EEEEEE"/>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b/>
                <w:bCs/>
                <w:sz w:val="24"/>
                <w:szCs w:val="24"/>
                <w:lang w:eastAsia="en-IN"/>
              </w:rPr>
            </w:pPr>
            <w:r w:rsidRPr="00A006CF">
              <w:rPr>
                <w:rFonts w:ascii="Times New Roman" w:eastAsia="Times New Roman" w:hAnsi="Times New Roman" w:cs="Times New Roman"/>
                <w:b/>
                <w:bCs/>
                <w:sz w:val="24"/>
                <w:szCs w:val="24"/>
                <w:lang w:eastAsia="en-IN"/>
              </w:rPr>
              <w:t>Description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BeforeSuite</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only once before all the tests in this suite have run.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AfterSuite</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only once after all the tests in this suite have run.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BeforeClass</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only once before the first test method in the current class is invoked.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AfterClass</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only once after all the test methods in the current class have run.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BeforeTest</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before any test method belonging to the classes inside the &lt;test&gt; tag is run.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AfterTest</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after all the test methods belonging to the classes inside the &lt;test&gt; tag have run.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BeforeGroups</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list of groups that this configuration method will run before. This method is guaranteed to run shortly before the first test method that belongs to any of these groups is invoked.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AfterGroups</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list of groups that this configuration method will run after. This method is guaranteed to run shortly after the last test method that belongs to any of these groups is invoked.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BeforeMethod</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before each test method.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lastRenderedPageBreak/>
              <w:t>@</w:t>
            </w:r>
            <w:proofErr w:type="spellStart"/>
            <w:r w:rsidRPr="00A006CF">
              <w:rPr>
                <w:rFonts w:ascii="Times New Roman" w:eastAsia="Times New Roman" w:hAnsi="Times New Roman" w:cs="Times New Roman"/>
                <w:b/>
                <w:bCs/>
                <w:sz w:val="24"/>
                <w:szCs w:val="24"/>
                <w:lang w:eastAsia="en-IN"/>
              </w:rPr>
              <w:t>AfterMethod</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The annotated method will be run after each test method.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w:t>
            </w:r>
            <w:proofErr w:type="spellStart"/>
            <w:r w:rsidRPr="00A006CF">
              <w:rPr>
                <w:rFonts w:ascii="Times New Roman" w:eastAsia="Times New Roman" w:hAnsi="Times New Roman" w:cs="Times New Roman"/>
                <w:b/>
                <w:bCs/>
                <w:sz w:val="24"/>
                <w:szCs w:val="24"/>
                <w:lang w:eastAsia="en-IN"/>
              </w:rPr>
              <w:t>DataProvider</w:t>
            </w:r>
            <w:proofErr w:type="spellEnd"/>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 xml:space="preserve">Marks a method as supplying data for a test method. The annotated method must return an Object [ </w:t>
            </w:r>
            <w:proofErr w:type="gramStart"/>
            <w:r w:rsidRPr="00A006CF">
              <w:rPr>
                <w:rFonts w:ascii="Times New Roman" w:eastAsia="Times New Roman" w:hAnsi="Times New Roman" w:cs="Times New Roman"/>
                <w:sz w:val="24"/>
                <w:szCs w:val="24"/>
                <w:lang w:eastAsia="en-IN"/>
              </w:rPr>
              <w:t>][</w:t>
            </w:r>
            <w:proofErr w:type="gramEnd"/>
            <w:r w:rsidRPr="00A006CF">
              <w:rPr>
                <w:rFonts w:ascii="Times New Roman" w:eastAsia="Times New Roman" w:hAnsi="Times New Roman" w:cs="Times New Roman"/>
                <w:sz w:val="24"/>
                <w:szCs w:val="24"/>
                <w:lang w:eastAsia="en-IN"/>
              </w:rPr>
              <w:t xml:space="preserve"> ] where each Object[ ] can be assigned the parameter list of the test method. The @Test method that wants to receive data from this Data Provider needs to use a data Provider name equals to the name of this annotation.</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@Factory</w:t>
            </w:r>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Marks a method as a factory that returns objects that will be used by TestNG as Test classes. The method must return Object [ ].</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@Listeners</w:t>
            </w:r>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Defines listeners on a test class.</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@Parameters</w:t>
            </w:r>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Describes how to pass parameters to a @Test method.</w:t>
            </w:r>
          </w:p>
        </w:tc>
      </w:tr>
      <w:tr w:rsidR="00A006CF" w:rsidRPr="00A006CF" w:rsidTr="00A006CF">
        <w:trPr>
          <w:tblCellSpacing w:w="0" w:type="dxa"/>
        </w:trPr>
        <w:tc>
          <w:tcPr>
            <w:tcW w:w="1755"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b/>
                <w:bCs/>
                <w:sz w:val="24"/>
                <w:szCs w:val="24"/>
                <w:lang w:eastAsia="en-IN"/>
              </w:rPr>
              <w:t>@Test</w:t>
            </w:r>
          </w:p>
        </w:tc>
        <w:tc>
          <w:tcPr>
            <w:tcW w:w="7770" w:type="dxa"/>
            <w:vAlign w:val="center"/>
            <w:hideMark/>
          </w:tcPr>
          <w:p w:rsidR="00A006CF" w:rsidRPr="00A006CF" w:rsidRDefault="00A006CF" w:rsidP="00A006CF">
            <w:pPr>
              <w:pBdr>
                <w:top w:val="single" w:sz="6" w:space="6" w:color="DDDDDD"/>
                <w:left w:val="single" w:sz="6" w:space="6" w:color="DDDDDD"/>
                <w:bottom w:val="single" w:sz="6" w:space="6" w:color="DDDDDD"/>
                <w:right w:val="single" w:sz="6" w:space="6" w:color="DDDDDD"/>
              </w:pBdr>
              <w:spacing w:before="100" w:beforeAutospacing="1" w:after="0" w:line="240" w:lineRule="auto"/>
              <w:rPr>
                <w:rFonts w:ascii="Times New Roman" w:eastAsia="Times New Roman" w:hAnsi="Times New Roman" w:cs="Times New Roman"/>
                <w:sz w:val="24"/>
                <w:szCs w:val="24"/>
                <w:lang w:eastAsia="en-IN"/>
              </w:rPr>
            </w:pPr>
            <w:r w:rsidRPr="00A006CF">
              <w:rPr>
                <w:rFonts w:ascii="Times New Roman" w:eastAsia="Times New Roman" w:hAnsi="Times New Roman" w:cs="Times New Roman"/>
                <w:sz w:val="24"/>
                <w:szCs w:val="24"/>
                <w:lang w:eastAsia="en-IN"/>
              </w:rPr>
              <w:t>Marks a class or a method as part of the test.</w:t>
            </w:r>
          </w:p>
        </w:tc>
      </w:tr>
    </w:tbl>
    <w:p w:rsidR="00A006CF" w:rsidRPr="00A006CF" w:rsidRDefault="00A006CF" w:rsidP="00A006CF">
      <w:pPr>
        <w:spacing w:before="100" w:beforeAutospacing="1" w:after="360" w:line="240" w:lineRule="auto"/>
        <w:outlineLvl w:val="1"/>
        <w:rPr>
          <w:rFonts w:ascii="Times New Roman" w:eastAsia="Times New Roman" w:hAnsi="Times New Roman" w:cs="Times New Roman"/>
          <w:sz w:val="36"/>
          <w:szCs w:val="36"/>
          <w:lang w:eastAsia="en-IN"/>
        </w:rPr>
      </w:pPr>
    </w:p>
    <w:p w:rsidR="0074732C" w:rsidRDefault="00A006CF"/>
    <w:sectPr w:rsidR="0074732C" w:rsidSect="00EF53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77ECB"/>
    <w:multiLevelType w:val="multilevel"/>
    <w:tmpl w:val="094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6CF"/>
    <w:rsid w:val="009607C6"/>
    <w:rsid w:val="00A006CF"/>
    <w:rsid w:val="00B22F42"/>
    <w:rsid w:val="00EF53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6A"/>
  </w:style>
  <w:style w:type="paragraph" w:styleId="Heading2">
    <w:name w:val="heading 2"/>
    <w:basedOn w:val="Normal"/>
    <w:link w:val="Heading2Char"/>
    <w:uiPriority w:val="9"/>
    <w:qFormat/>
    <w:rsid w:val="00A006CF"/>
    <w:pPr>
      <w:spacing w:before="100" w:beforeAutospacing="1" w:after="119"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6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6CF"/>
    <w:pPr>
      <w:spacing w:before="100" w:beforeAutospacing="1" w:after="119"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06CF"/>
    <w:rPr>
      <w:color w:val="0000FF"/>
      <w:u w:val="single"/>
    </w:rPr>
  </w:style>
</w:styles>
</file>

<file path=word/webSettings.xml><?xml version="1.0" encoding="utf-8"?>
<w:webSettings xmlns:r="http://schemas.openxmlformats.org/officeDocument/2006/relationships" xmlns:w="http://schemas.openxmlformats.org/wordprocessingml/2006/main">
  <w:divs>
    <w:div w:id="17097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1</cp:revision>
  <dcterms:created xsi:type="dcterms:W3CDTF">2015-12-30T09:00:00Z</dcterms:created>
  <dcterms:modified xsi:type="dcterms:W3CDTF">2015-12-30T09:02:00Z</dcterms:modified>
</cp:coreProperties>
</file>