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MyCommPal | One-Page MVP Specification</w:t>
      </w:r>
    </w:p>
    <w:p>
      <w:pPr>
        <w:spacing w:after="100"/>
      </w:pPr>
      <w:r>
        <w:rPr>
          <w:i/>
        </w:rPr>
        <w:t>Your Personal AI Communication Mentor  •  Buildathon  •  Cohort 52</w:t>
      </w:r>
    </w:p>
    <w:p>
      <w:pPr>
        <w:spacing w:before="80" w:after="60"/>
      </w:pPr>
      <w:r>
        <w:rPr>
          <w:b/>
          <w:color w:val="5337BD"/>
        </w:rPr>
        <w:t xml:space="preserve">User &amp; problem  </w:t>
      </w:r>
      <w:r>
        <w:t>Working Product Managers often know their product decisions but struggle to articulate the recommendation, evidence, trade-offs and impact under pressure. In initial research, 9 of 14 participants reported articulation-related challenges (directional sample).</w:t>
      </w:r>
    </w:p>
    <w:p>
      <w:pPr>
        <w:spacing w:before="80" w:after="60"/>
      </w:pPr>
      <w:r>
        <w:rPr>
          <w:b/>
          <w:color w:val="5337BD"/>
        </w:rPr>
        <w:t xml:space="preserve">Product hypothesis  </w:t>
      </w:r>
      <w:r>
        <w:t>A focused diagnosis, one relevant technique and deliberate retry will help PMs communicate decisions more clearly—not just generate polished AI answers.</w:t>
      </w:r>
    </w:p>
    <w:p>
      <w:pPr>
        <w:spacing w:before="80" w:after="60"/>
      </w:pPr>
      <w:r>
        <w:rPr>
          <w:b/>
          <w:color w:val="5337BD"/>
        </w:rPr>
        <w:t xml:space="preserve">JTBD  </w:t>
      </w:r>
      <w:r>
        <w:t>“When I need to present or defend a product decision, help me find the gap in my explanation, learn a technique and practice until my reasoning is clearer.”</w:t>
      </w:r>
    </w:p>
    <w:p>
      <w:pPr>
        <w:pStyle w:val="Heading1"/>
      </w:pPr>
      <w:r>
        <w:t>P0 user journey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776"/>
      </w:tblGrid>
      <w:tr>
        <w:tc>
          <w:tcPr>
            <w:tcW w:type="dxa" w:w="2160"/>
            <w:vAlign w:val="center"/>
          </w:tcPr>
          <w:p>
            <w:r>
              <w:t>1 · My Goal</w:t>
            </w:r>
          </w:p>
        </w:tc>
        <w:tc>
          <w:tcPr>
            <w:tcW w:type="dxa" w:w="7776"/>
            <w:vAlign w:val="center"/>
          </w:tcPr>
          <w:p>
            <w:r>
              <w:t>Choose goal, audience and a PM scenario or describe a real situation.</w:t>
            </w:r>
          </w:p>
        </w:tc>
      </w:tr>
      <w:tr>
        <w:tc>
          <w:tcPr>
            <w:tcW w:type="dxa" w:w="2160"/>
            <w:vAlign w:val="center"/>
          </w:tcPr>
          <w:p>
            <w:r>
              <w:t>2 · Assess Me</w:t>
            </w:r>
          </w:p>
        </w:tc>
        <w:tc>
          <w:tcPr>
            <w:tcW w:type="dxa" w:w="7776"/>
            <w:vAlign w:val="center"/>
          </w:tcPr>
          <w:p>
            <w:r>
              <w:t>Type or speak a baseline response; Vira assesses clarity, structure, conciseness and PM decision communication when applicable.</w:t>
            </w:r>
          </w:p>
        </w:tc>
      </w:tr>
      <w:tr>
        <w:tc>
          <w:tcPr>
            <w:tcW w:type="dxa" w:w="2160"/>
            <w:vAlign w:val="center"/>
          </w:tcPr>
          <w:p>
            <w:r>
              <w:t>3 · My Personal Plan</w:t>
            </w:r>
          </w:p>
        </w:tc>
        <w:tc>
          <w:tcPr>
            <w:tcW w:type="dxa" w:w="7776"/>
            <w:vAlign w:val="center"/>
          </w:tcPr>
          <w:p>
            <w:r>
              <w:t>Receive evidence-grounded diagnosis, one priority skill, technique and examples; deeper scores available on demand.</w:t>
            </w:r>
          </w:p>
        </w:tc>
      </w:tr>
      <w:tr>
        <w:tc>
          <w:tcPr>
            <w:tcW w:type="dxa" w:w="2160"/>
            <w:vAlign w:val="center"/>
          </w:tcPr>
          <w:p>
            <w:r>
              <w:t>4 · Practice With Vira</w:t>
            </w:r>
          </w:p>
        </w:tc>
        <w:tc>
          <w:tcPr>
            <w:tcW w:type="dxa" w:w="7776"/>
            <w:vAlign w:val="center"/>
          </w:tcPr>
          <w:p>
            <w:r>
              <w:t>Retry, reassess independently, and compare improvements or regressions.</w:t>
            </w:r>
          </w:p>
        </w:tc>
      </w:tr>
    </w:tbl>
    <w:p>
      <w:pPr>
        <w:pStyle w:val="Heading1"/>
      </w:pPr>
      <w:r>
        <w:t>P0 requirements / acceptance</w:t>
      </w:r>
    </w:p>
    <w:p>
      <w:pPr>
        <w:pStyle w:val="ListBullet"/>
        <w:spacing w:after="20"/>
        <w:ind w:left="317"/>
      </w:pPr>
      <w:r>
        <w:t>Guest entry; responsive web on desktop/mobile; realistic and custom scenarios; text and speech-to-text responses.</w:t>
      </w:r>
    </w:p>
    <w:p>
      <w:pPr>
        <w:pStyle w:val="ListBullet"/>
        <w:spacing w:after="20"/>
        <w:ind w:left="317"/>
      </w:pPr>
      <w:r>
        <w:t>Consistent rubrics; apply decision/evidence/trade-off/impact criteria only when relevant; never invent supporting facts.</w:t>
      </w:r>
    </w:p>
    <w:p>
      <w:pPr>
        <w:pStyle w:val="ListBullet"/>
        <w:spacing w:after="20"/>
        <w:ind w:left="317"/>
      </w:pPr>
      <w:r>
        <w:t>Actionable Vira mentoring; independent baseline/retry scores and comparisons; reliable navigation and error handling.</w:t>
      </w:r>
    </w:p>
    <w:p>
      <w:pPr>
        <w:pStyle w:val="ListBullet"/>
        <w:spacing w:after="20"/>
        <w:ind w:left="317"/>
      </w:pPr>
      <w:r>
        <w:t>Supabase-backed sessions and feedback; protected server-side AI credentials; clear distinction between AI and fallback output.</w:t>
      </w:r>
    </w:p>
    <w:p>
      <w:pPr>
        <w:pStyle w:val="Heading1"/>
      </w:pPr>
      <w:r>
        <w:t>Explicitly out of scope (MVP)</w:t>
      </w:r>
    </w:p>
    <w:p>
      <w:pPr>
        <w:pStyle w:val="ListBullet"/>
        <w:spacing w:after="20"/>
        <w:ind w:left="317"/>
      </w:pPr>
      <w:r>
        <w:t>Real-time, interruptible voice conversations or live stakeholder simulations; video and body-language assessment.</w:t>
      </w:r>
    </w:p>
    <w:p>
      <w:pPr>
        <w:pStyle w:val="ListBullet"/>
        <w:spacing w:after="20"/>
        <w:ind w:left="317"/>
      </w:pPr>
      <w:r>
        <w:t>Full public-speaking courses, anxiety treatment, broad communication curriculum or expanded non-PM personas.</w:t>
      </w:r>
    </w:p>
    <w:p>
      <w:pPr>
        <w:pStyle w:val="ListBullet"/>
        <w:spacing w:after="20"/>
        <w:ind w:left="317"/>
      </w:pPr>
      <w:r>
        <w:t>Enterprise integrations, organizational admin tools, long-term skill analytics and gamification.</w:t>
      </w:r>
    </w:p>
    <w:p>
      <w:pPr>
        <w:spacing w:before="80" w:after="60"/>
      </w:pPr>
      <w:r>
        <w:rPr>
          <w:b/>
          <w:color w:val="5337BD"/>
        </w:rPr>
        <w:t xml:space="preserve">Technical approach  </w:t>
      </w:r>
      <w:r>
        <w:t>Next.js 14 + Vercel (web/API); OpenAI-backed Vira with limited heuristic fallback; Supabase for sessions/feedback; browser Web Speech API. Runtime behavior must be verified before submission.</w:t>
      </w:r>
    </w:p>
    <w:p>
      <w:pPr>
        <w:spacing w:before="80" w:after="60"/>
      </w:pPr>
      <w:r>
        <w:rPr>
          <w:b/>
          <w:color w:val="5337BD"/>
        </w:rPr>
        <w:t xml:space="preserve">Validation  </w:t>
      </w:r>
      <w:r>
        <w:t>Primary: blinded review of baseline versus retry on the targeted skill. Pilot targets: at least 3/5 PMs improve ≥1 point; 4/5 complete practice and find guidance actionable. User preference, repeat usage and willingness to pay remain hypotheses.</w:t>
      </w:r>
    </w:p>
    <w:p>
      <w:pPr>
        <w:spacing w:before="80" w:after="60"/>
      </w:pPr>
      <w:r>
        <w:rPr>
          <w:b/>
          <w:color w:val="5337BD"/>
        </w:rPr>
        <w:t xml:space="preserve">Jury access  </w:t>
      </w:r>
      <w:r>
        <w:t>Live: https://mycommpal.vercel.app/  |  Code: https://github.com/ramachinthapalli-ghub/mycommpal  |  Select “Continue as Guest” if available; verify in a private window before sharing.</w:t>
      </w:r>
    </w:p>
    <w:sectPr w:rsidR="00FC693F" w:rsidRPr="0006063C" w:rsidSect="00034616">
      <w:pgSz w:w="12240" w:h="15840"/>
      <w:pgMar w:top="806" w:right="1037" w:bottom="74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8304E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C44CA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5C44C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