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2C"/>
          <w:sz w:val="36"/>
          <w:szCs w:val="36"/>
        </w:rPr>
        <w:t xml:space="preserve">C6 — Priorización y Trazabilidad (Complemento)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SGCV-IA · MoSCoW + Kano + Valor de Negocio + Matriz de Trazabilidad Ley→Mockup (40 elementos)</w:t>
      </w:r>
    </w:p>
    <w:p>
      <w:pPr>
        <w:pStyle w:val="Heading2"/>
        <w:spacing w:after="120" w:before="240"/>
      </w:pPr>
      <w:r>
        <w:rPr>
          <w:b/>
          <w:bCs/>
          <w:color w:val="1F4E2C"/>
          <w:sz w:val="24"/>
          <w:szCs w:val="24"/>
        </w:rPr>
        <w:t xml:space="preserve">Metodología aplicada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Kano: cada requisito se clasificó según su efecto en la satisfacción del usuario, con base en las entrevistas del Apéndice B del documento principal: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Básico: </w:t>
      </w:r>
      <w:r>
        <w:rPr>
          <w:sz w:val="21"/>
          <w:szCs w:val="21"/>
        </w:rPr>
        <w:t xml:space="preserve"> Su ausencia genera insatisfacción; su presencia es esperada y no sorprende.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Desempeño: </w:t>
      </w:r>
      <w:r>
        <w:rPr>
          <w:sz w:val="21"/>
          <w:szCs w:val="21"/>
        </w:rPr>
        <w:t xml:space="preserve"> La satisfacción crece proporcionalmente a la calidad de implementación.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Atractivo: </w:t>
      </w:r>
      <w:r>
        <w:rPr>
          <w:sz w:val="21"/>
          <w:szCs w:val="21"/>
        </w:rPr>
        <w:t xml:space="preserve"> Genera entusiasmo si está presente, pero su ausencia no se extraña.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Indiferente: </w:t>
      </w:r>
      <w:r>
        <w:rPr>
          <w:sz w:val="21"/>
          <w:szCs w:val="21"/>
        </w:rPr>
        <w:t xml:space="preserve"> No genera una reacción notable en el usuario.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Valor de negocio: escala Alto / Medio / Bajo según el impacto declarado por los stakeholders en la adopción del sistema, la retención de clientes o la reducción de pérdidas operativas (ejemplo: RC-08, facturación lenta descrita como "la parte más demorada" por el stakeholder Amagua → Valor Alto).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Trazabilidad Ley→Mockup: se extiende la matriz original (Evidencia→Requisito→Caso de Uso) incorporando la norma o ley aplicable a cada elemento y la pantalla del prototipo de alta fidelidad (Figma) en la que se materializa, cerrando así el ciclo completo desde el marco normativo hasta la interfaz final.</w:t>
      </w:r>
    </w:p>
    <w:p>
      <w:pPr>
        <w:pStyle w:val="Heading2"/>
        <w:spacing w:after="120" w:before="240"/>
      </w:pPr>
      <w:r>
        <w:rPr>
          <w:b/>
          <w:bCs/>
          <w:color w:val="1F4E2C"/>
          <w:sz w:val="24"/>
          <w:szCs w:val="24"/>
        </w:rPr>
        <w:t xml:space="preserve">Matriz extendida (40 elementos: 24 RF + 10 RNF + 6 RST)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950"/>
        <w:gridCol w:w="1150"/>
        <w:gridCol w:w="1000"/>
        <w:gridCol w:w="2500"/>
        <w:gridCol w:w="1500"/>
        <w:gridCol w:w="2600"/>
      </w:tblGrid>
      <w:tr>
        <w:trPr>
          <w:tblHeader/>
        </w:trPr>
        <w:tc>
          <w:tcPr>
            <w:tcW w:type="dxa" w:w="900"/>
            <w:shd w:fill="1F4E2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00"/>
            <w:shd w:fill="1F4E2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950"/>
            <w:shd w:fill="1F4E2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  <w:tc>
          <w:tcPr>
            <w:tcW w:type="dxa" w:w="1150"/>
            <w:shd w:fill="1F4E2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Kano</w:t>
            </w:r>
          </w:p>
        </w:tc>
        <w:tc>
          <w:tcPr>
            <w:tcW w:type="dxa" w:w="1000"/>
            <w:shd w:fill="1F4E2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 Negocio</w:t>
            </w:r>
          </w:p>
        </w:tc>
        <w:tc>
          <w:tcPr>
            <w:tcW w:type="dxa" w:w="2500"/>
            <w:shd w:fill="1F4E2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Norma/Ley</w:t>
            </w:r>
          </w:p>
        </w:tc>
        <w:tc>
          <w:tcPr>
            <w:tcW w:type="dxa" w:w="1500"/>
            <w:shd w:fill="1F4E2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Caso de Uso</w:t>
            </w:r>
          </w:p>
        </w:tc>
        <w:tc>
          <w:tcPr>
            <w:tcW w:type="dxa" w:w="2600"/>
            <w:shd w:fill="1F4E2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Mockup / Pantalla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RF-01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IEEE 29148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CU-01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Todas (responsive)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RF-02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Gestión de Historiales Clínicos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RF-03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CU-03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Gestión de Historiales Clínicos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RF-04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LOPDP Art. 4 (datos sensibles)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Registro de Consulta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RF-05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CU-04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Inventario de Bodega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RF-06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CU-04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Inventario de Bodega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RF-07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Facturación y Cobro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RF-08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Atractivo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Facturación y Cobro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RF-09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Indiferente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LOPDP Art. 4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Comunicación con Dueños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RF-10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Atractivo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LOPDP Art. 4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Comunicación con Dueños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RF-11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Gestión de Citas y Recordatorios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RF-12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Atractivo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Gestión de Citas y Recordatorios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RF-13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Seguimiento Nutricional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RF-14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Atractivo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Seguimiento Nutricional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RF-15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Atractivo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Gestión de Citas y Recordatorios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RF-16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CU-03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Reportes y Exportación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RF-17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Atractivo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RST-05/08 (ética IA)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Panel de Diagnóstico IA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RF-18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Panel de Diagnóstico IA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RF-19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Panel de Diagnóstico IA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RF-20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CU-01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Login / Selección de rol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RF-21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Dashboard general*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RF-22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CU-01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 (criterio de negocio)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RF-23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LOPDP Art. 4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CU-01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Gestión de Usuarios y Accesos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RF-24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Could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LOPDP Art. 4 (auditoría)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CU-03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Gestión de Historiales Clínicos*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RNF-01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ISO/IEC 25010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Transversal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RNF-02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ISO/IEC 25010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Facturación y Cobro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RNF-03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Desempeño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ISO/IEC 25010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CU-04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Inventario de Bodega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RNF-04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ISO/IEC 25010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Dashboard general*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RNF-05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LOPDP Art. 4 + ISO/IEC 25010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CU-01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Login / Gestión de Usuarios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RNF-06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LOPDP Art. 4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CU-03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Gestión de Historiales Clínicos*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RNF-07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Should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Básico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ISO/IEC 25010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CU-01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Login / Selección de rol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RNF-08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Could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Indiferente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Bajo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ISO/IEC 25010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CU-01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Todas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RNF-09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Must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Atractivo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ISO/IEC 25010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Panel de Diagnóstico IA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RNF-10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RNF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Could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Indiferente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Bajo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ISO/IEC 25010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 (arquitectura interna)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RST-01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RST-02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LOPDP (Ley Orgánica Ecuador)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CU-01/CU-03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RST-03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LOPDP Art. 4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CU-01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RST-04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RST-05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</w:t>
            </w:r>
          </w:p>
        </w:tc>
        <w:tc>
          <w:tcPr>
            <w:tcW w:type="dxa" w:w="9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Panel de Diagnóstico IA</w:t>
            </w:r>
          </w:p>
        </w:tc>
      </w:tr>
      <w:tr>
        <w:tc>
          <w:tcPr>
            <w:tcW w:type="dxa" w:w="9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RST-06</w:t>
            </w:r>
          </w:p>
        </w:tc>
        <w:tc>
          <w:tcPr>
            <w:tcW w:type="dxa" w:w="7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RST</w:t>
            </w:r>
          </w:p>
        </w:tc>
        <w:tc>
          <w:tcPr>
            <w:tcW w:type="dxa" w:w="9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15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Medio</w:t>
            </w:r>
          </w:p>
        </w:tc>
        <w:tc>
          <w:tcPr>
            <w:tcW w:type="dxa" w:w="2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shd w:fill="E8F0E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N/A (módulo interno)</w:t>
            </w:r>
          </w:p>
        </w:tc>
      </w:tr>
    </w:tbl>
    <w:p>
      <w:pPr>
        <w:spacing w:after="200" w:before="150"/>
      </w:pPr>
      <w:r>
        <w:rPr>
          <w:i/>
          <w:iCs/>
          <w:color w:val="555555"/>
          <w:sz w:val="18"/>
          <w:szCs w:val="18"/>
        </w:rPr>
        <w:t xml:space="preserve">* Pantallas marcadas con asterisco: aún no cuentan con mockup dedicado en Figma. Se recomienda documentarlas explícitamente como "pendiente para Entrega 2" en el repositorio, para evitar inconsistencias entre la matriz y el prototipo navegable entregado.</w:t>
      </w:r>
    </w:p>
    <w:p>
      <w:pPr>
        <w:pStyle w:val="Heading2"/>
        <w:spacing w:after="120" w:before="240"/>
      </w:pPr>
      <w:r>
        <w:rPr>
          <w:b/>
          <w:bCs/>
          <w:color w:val="1F4E2C"/>
          <w:sz w:val="24"/>
          <w:szCs w:val="24"/>
        </w:rPr>
        <w:t xml:space="preserve">Nota sobre trazabilidad legal (LOPDP)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columna Norma/Ley referencia el Art. 4 de la Ley Orgánica de Protección de Datos Personales (LOPDP) de Ecuador como aplicable a los requisitos que tratan datos clínicos y personales sensibles (RF-04, RF-09, RF-10, RF-23, RNF-05, RNF-06, RST-02, RST-03). Se recomienda verificar y confirmar la numeración exacta del articulado directamente en el texto oficial de la ley antes de la entrega final, ya que esta referencia se incluyó como aproximación razonable y no como cita legal verificada al 100%.</w:t>
      </w:r>
    </w:p>
    <w:sectPr>
      <w:headerReference w:type="default" r:id="rId7"/>
      <w:footerReference w:type="default" r:id="rId8"/>
      <w:pgSz w:w="11906" w:h="16838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SGCV-IA — Complemento C6 | Priorización y Trazabilidad Extendida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2026-08-02T20:02:42.753Z</dcterms:created>
  <dcterms:modified xsi:type="dcterms:W3CDTF">2026-08-02T20:02:42.776Z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