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Times New Roman" w:cs="Times New Roman" w:eastAsia="Times New Roman" w:hAnsi="Times New Roman"/>
          <w:b/>
          <w:bCs/>
          <w:color w:val="000000"/>
          <w:sz w:val="22"/>
          <w:szCs w:val="22"/>
        </w:rPr>
        <w:t xml:space="preserve">3.1.3 Interfaz de software</w:t>
      </w:r>
    </w:p>
    <w:p>
      <w:pPr>
        <w:spacing w:after="160" w:before="0"/>
        <w:jc w:val="both"/>
      </w:pPr>
      <w:r>
        <w:rPr>
          <w:rFonts w:ascii="Times New Roman" w:cs="Times New Roman" w:eastAsia="Times New Roman" w:hAnsi="Times New Roman"/>
          <w:sz w:val="22"/>
          <w:szCs w:val="22"/>
        </w:rPr>
        <w:t xml:space="preserve">A continuación se describen los componentes de software, formatos de intercambio e integraciones con los que interactúa SGCV-IA como aplicación de escritorio (Windows Forms / C#). La referencia a las funciones del producto (Sec. 2.2) se mantiene a modo orientativo, en espera de su vinculación definitiva con los requisitos funcionales formales (RF-XX) en la Sección 3.2.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800"/>
      </w:tblGrid>
      <w:tr>
        <w:trPr>
          <w:tblHeader/>
        </w:trPr>
        <w:tc>
          <w:tcPr>
            <w:tcW w:type="dxa" w:w="2400"/>
            <w:tcBorders>
              <w:top w:val="single" w:color="auto" w:sz="4"/>
              <w:left w:val="single" w:color="auto" w:sz="4"/>
              <w:bottom w:val="single" w:color="auto" w:sz="4"/>
              <w:right w:val="single" w:color="auto" w:sz="4"/>
            </w:tcBorders>
            <w:shd w:fill="E0F2F3"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Componente</w:t>
            </w:r>
          </w:p>
        </w:tc>
        <w:tc>
          <w:tcPr>
            <w:tcW w:type="dxa" w:w="5400"/>
            <w:tcBorders>
              <w:top w:val="single" w:color="auto" w:sz="4"/>
              <w:left w:val="single" w:color="auto" w:sz="4"/>
              <w:bottom w:val="single" w:color="auto" w:sz="4"/>
              <w:right w:val="single" w:color="auto" w:sz="4"/>
            </w:tcBorders>
            <w:shd w:fill="E0F2F3"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Descripción</w:t>
            </w:r>
          </w:p>
        </w:tc>
        <w:tc>
          <w:tcPr>
            <w:tcW w:type="dxa" w:w="1800"/>
            <w:tcBorders>
              <w:top w:val="single" w:color="auto" w:sz="4"/>
              <w:left w:val="single" w:color="auto" w:sz="4"/>
              <w:bottom w:val="single" w:color="auto" w:sz="4"/>
              <w:right w:val="single" w:color="auto" w:sz="4"/>
            </w:tcBorders>
            <w:shd w:fill="E0F2F3"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Función relacionada (Sec. 2.2)</w:t>
            </w:r>
          </w:p>
        </w:tc>
      </w:tr>
      <w:tr>
        <w:tc>
          <w:tcPr>
            <w:tcW w:type="dxa" w:w="2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Sistema operativo y plataforma</w:t>
            </w:r>
          </w:p>
        </w:tc>
        <w:tc>
          <w:tcPr>
            <w:tcW w:type="dxa" w:w="5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Aplicación de escritorio desarrollada en C# sobre el framework .NET (Windows Forms), compatible con Windows 10 o superior. No requiere instalación de máquina virtual ni dependencias de plataformas externas para su ejecución en el cliente.</w:t>
            </w:r>
          </w:p>
        </w:tc>
        <w:tc>
          <w:tcPr>
            <w:tcW w:type="dxa" w:w="18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F1–F9</w:t>
            </w:r>
          </w:p>
        </w:tc>
      </w:tr>
      <w:tr>
        <w:tc>
          <w:tcPr>
            <w:tcW w:type="dxa" w:w="2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Base de datos</w:t>
            </w:r>
          </w:p>
        </w:tc>
        <w:tc>
          <w:tcPr>
            <w:tcW w:type="dxa" w:w="5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Motor de base de datos relacional (SQL Server o equivalente) alojado en el servidor de la clínica, accedido mediante ADO.NET o un ORM (p. ej. Entity Framework) a través de la red local. Almacena historiales clínicos, citas, inventario, facturación y usuarios.</w:t>
            </w:r>
          </w:p>
        </w:tc>
        <w:tc>
          <w:tcPr>
            <w:tcW w:type="dxa" w:w="18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F1, F2, F5, F7, F9</w:t>
            </w:r>
          </w:p>
        </w:tc>
      </w:tr>
      <w:tr>
        <w:tc>
          <w:tcPr>
            <w:tcW w:type="dxa" w:w="2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Formato de intercambio de datos</w:t>
            </w:r>
          </w:p>
        </w:tc>
        <w:tc>
          <w:tcPr>
            <w:tcW w:type="dxa" w:w="5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Generación de reportes exportables en formato PDF (historial clínico, indicadores operativos) mediante una biblioteca de generación de documentos integrada en la aplicación. Intercambio interno de datos en formato estructurado (objetos .NET / DataSet) entre los módulos del sistema.</w:t>
            </w:r>
          </w:p>
        </w:tc>
        <w:tc>
          <w:tcPr>
            <w:tcW w:type="dxa" w:w="18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F8</w:t>
            </w:r>
          </w:p>
        </w:tc>
      </w:tr>
      <w:tr>
        <w:tc>
          <w:tcPr>
            <w:tcW w:type="dxa" w:w="2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Módulo de IA</w:t>
            </w:r>
          </w:p>
        </w:tc>
        <w:tc>
          <w:tcPr>
            <w:tcW w:type="dxa" w:w="5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Comunicación con el módulo de diagnóstico asistido mediante una API interna (REST/HTTP) que recibe los datos de la consulta (síntomas, motivo) y devuelve los diagnósticos diferenciales sugeridos junto con su respaldo bibliográfico.</w:t>
            </w:r>
          </w:p>
        </w:tc>
        <w:tc>
          <w:tcPr>
            <w:tcW w:type="dxa" w:w="18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F3</w:t>
            </w:r>
          </w:p>
        </w:tc>
      </w:tr>
      <w:tr>
        <w:tc>
          <w:tcPr>
            <w:tcW w:type="dxa" w:w="2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bCs/>
                <w:sz w:val="21"/>
                <w:szCs w:val="21"/>
              </w:rPr>
              <w:t xml:space="preserve">Comunicación con terceros</w:t>
            </w:r>
          </w:p>
        </w:tc>
        <w:tc>
          <w:tcPr>
            <w:tcW w:type="dxa" w:w="54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Integración con servicios externos de mensajería (p. ej. WhatsApp Business API) y/o correo electrónico para el envío de recordatorios de citas y resultados de exámenes a los dueños de las mascotas.</w:t>
            </w:r>
          </w:p>
        </w:tc>
        <w:tc>
          <w:tcPr>
            <w:tcW w:type="dxa" w:w="1800"/>
            <w:tcBorders>
              <w:top w:val="single" w:color="auto" w:sz="4"/>
              <w:left w:val="single" w:color="auto" w:sz="4"/>
              <w:bottom w:val="single" w:color="auto" w:sz="4"/>
              <w:right w:val="single" w:color="auto" w:sz="4"/>
            </w:tcBorders>
            <w:shd w:fill="FFFFFF" w:val="clear"/>
            <w:tcMar>
              <w:top w:type="dxa" w:w="80"/>
              <w:left w:type="dxa" w:w="120"/>
              <w:bottom w:type="dxa" w:w="80"/>
              <w:right w:type="dxa" w:w="120"/>
            </w:tcMar>
            <w:vAlign w:val="center"/>
          </w:tcPr>
          <w:p>
            <w:r>
              <w:rPr>
                <w:rFonts w:ascii="Times New Roman" w:cs="Times New Roman" w:eastAsia="Times New Roman" w:hAnsi="Times New Roman"/>
                <w:b w:val="false"/>
                <w:bCs w:val="false"/>
                <w:sz w:val="21"/>
                <w:szCs w:val="21"/>
              </w:rPr>
              <w:t xml:space="preserve">F5, F6</w:t>
            </w:r>
          </w:p>
        </w:tc>
      </w:tr>
    </w:tbl>
    <w:p>
      <w:pPr>
        <w:spacing w:after="160" w:before="0"/>
      </w:pPr>
      <w:r>
        <w:t xml:space="preserve"/>
      </w:r>
    </w:p>
    <w:p>
      <w:pPr>
        <w:spacing w:after="160" w:before="0"/>
        <w:jc w:val="both"/>
      </w:pPr>
      <w:r>
        <w:rPr>
          <w:rFonts w:ascii="Times New Roman" w:cs="Times New Roman" w:eastAsia="Times New Roman" w:hAnsi="Times New Roman"/>
          <w:i/>
          <w:iCs/>
          <w:sz w:val="22"/>
          <w:szCs w:val="22"/>
        </w:rPr>
        <w:t xml:space="preserve">El módulo de IA y las integraciones de comunicación con terceros se diseñarán como componentes desacoplados del núcleo transaccional del sistema, de forma que su eventual indisponibilidad no comprometa el funcionamiento de los módulos clínicos y administrativos principales.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2026-06-30T18:04:22.807Z</dcterms:created>
  <dcterms:modified xsi:type="dcterms:W3CDTF">2026-06-30T18:04:22.807Z</dcterms:modified>
</cp:coreProperties>
</file>

<file path=docProps/custom.xml><?xml version="1.0" encoding="utf-8"?>
<Properties xmlns="http://schemas.openxmlformats.org/officeDocument/2006/custom-properties" xmlns:vt="http://schemas.openxmlformats.org/officeDocument/2006/docPropsVTypes"/>
</file>