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9191" w14:textId="77777777" w:rsidR="006F5530" w:rsidRPr="00D5254B" w:rsidRDefault="006F5530" w:rsidP="006F553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1.2</w:t>
      </w: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 Priorización MoSCoW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4"/>
        <w:gridCol w:w="1823"/>
        <w:gridCol w:w="1718"/>
        <w:gridCol w:w="3893"/>
      </w:tblGrid>
      <w:tr w:rsidR="006F5530" w:rsidRPr="00D5254B" w14:paraId="08508203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522E4410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53F5F23A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1D5A81CD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34324A13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6077DA4B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13986F08" w14:textId="77777777" w:rsidR="006F5530" w:rsidRPr="00D5254B" w:rsidRDefault="006F5530" w:rsidP="0026470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</w:t>
            </w:r>
          </w:p>
        </w:tc>
        <w:tc>
          <w:tcPr>
            <w:tcW w:w="1984" w:type="dxa"/>
            <w:shd w:val="clear" w:color="auto" w:fill="auto"/>
          </w:tcPr>
          <w:p w14:paraId="59E83363" w14:textId="77777777" w:rsidR="006F5530" w:rsidRPr="00D5254B" w:rsidRDefault="006F5530" w:rsidP="0026470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RF-01, RF-02, RF-03, RF-04, RF-05, RF-06, RF-07, RF-08, RF-09, RF-10, RF-11, RF-12, RF-13, RF-14, RF-15, RF-16, RF-17 (17 RF)</w:t>
            </w:r>
          </w:p>
        </w:tc>
        <w:tc>
          <w:tcPr>
            <w:tcW w:w="1843" w:type="dxa"/>
            <w:shd w:val="clear" w:color="auto" w:fill="auto"/>
          </w:tcPr>
          <w:p w14:paraId="3C08409F" w14:textId="77777777" w:rsidR="006F5530" w:rsidRPr="00D5254B" w:rsidRDefault="006F5530" w:rsidP="0026470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RNF-01, RNF-02, RNF-04, RNF-05, RNF-09 (5 RNF)</w:t>
            </w:r>
          </w:p>
        </w:tc>
        <w:tc>
          <w:tcPr>
            <w:tcW w:w="4160" w:type="dxa"/>
            <w:shd w:val="clear" w:color="auto" w:fill="auto"/>
          </w:tcPr>
          <w:p w14:paraId="23A3DD91" w14:textId="77777777" w:rsidR="006F5530" w:rsidRPr="00D5254B" w:rsidRDefault="006F5530" w:rsidP="0026470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Son las funciones sin las cuales el sistema no reemplaza el proceso manual actual: registro de pacientes, historial clínico, atención médica con diagnóstico asistido por IA, control de inventario, gestión de empleados, facturación y comunicación. Sin estos, SGCV-IA no es operable en una clínica veterinaria real.</w:t>
            </w:r>
          </w:p>
        </w:tc>
      </w:tr>
      <w:tr w:rsidR="006F5530" w:rsidRPr="00D5254B" w14:paraId="7A188F02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70FE482F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66242437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138E369D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51D1D656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17F0D890" w14:textId="77777777" w:rsidTr="00264701">
        <w:trPr>
          <w:jc w:val="center"/>
        </w:trPr>
        <w:tc>
          <w:tcPr>
            <w:tcW w:w="1417" w:type="dxa"/>
          </w:tcPr>
          <w:p w14:paraId="1B3343E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 have</w:t>
            </w:r>
          </w:p>
        </w:tc>
        <w:tc>
          <w:tcPr>
            <w:tcW w:w="1984" w:type="dxa"/>
          </w:tcPr>
          <w:p w14:paraId="18C0B84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RF-18, RF-19, RF-20, RF-21, RF-22, RF-23 (6 RF)</w:t>
            </w:r>
          </w:p>
        </w:tc>
        <w:tc>
          <w:tcPr>
            <w:tcW w:w="1843" w:type="dxa"/>
          </w:tcPr>
          <w:p w14:paraId="346A60F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RNF-03, RNF-06, RNF-07 (3 RNF)</w:t>
            </w:r>
          </w:p>
        </w:tc>
        <w:tc>
          <w:tcPr>
            <w:tcW w:w="4160" w:type="dxa"/>
          </w:tcPr>
          <w:p w14:paraId="701605F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Aportan valor significativo (reportes comparativos, seguimiento nutricional detallado, recordatorios automáticos, trazabilidad de auditoría) pero el sistema es funcional sin ellos en una primera versión; pueden incorporarse en una segunda iteración sin bloquear la operación diaria.</w:t>
            </w:r>
          </w:p>
        </w:tc>
      </w:tr>
      <w:tr w:rsidR="006F5530" w:rsidRPr="00D5254B" w14:paraId="00553116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0DB0C663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51B76EAC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051DAADC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5E305C63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66D79F26" w14:textId="77777777" w:rsidTr="00264701">
        <w:trPr>
          <w:jc w:val="center"/>
        </w:trPr>
        <w:tc>
          <w:tcPr>
            <w:tcW w:w="1417" w:type="dxa"/>
          </w:tcPr>
          <w:p w14:paraId="5F48DAC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Could have</w:t>
            </w:r>
          </w:p>
        </w:tc>
        <w:tc>
          <w:tcPr>
            <w:tcW w:w="1984" w:type="dxa"/>
          </w:tcPr>
          <w:p w14:paraId="08FDF09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RF-24 (1 RF)</w:t>
            </w:r>
          </w:p>
        </w:tc>
        <w:tc>
          <w:tcPr>
            <w:tcW w:w="1843" w:type="dxa"/>
          </w:tcPr>
          <w:p w14:paraId="1102BE9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RNF-08, RNF-10 (2 RNF)</w:t>
            </w:r>
          </w:p>
        </w:tc>
        <w:tc>
          <w:tcPr>
            <w:tcW w:w="4160" w:type="dxa"/>
          </w:tcPr>
          <w:p w14:paraId="3156B7D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predicción de momento óptimo de cosecha (RF-24) depende de datos históricos que la clínica todavía no posee (mínimo 2 ciclos de pacientes); la portabilidad extendida (RNF-08) y la tolerancia a fallos del proveedor IA (RNF-10) son deseables pero no garantizables en este alcance.</w:t>
            </w:r>
          </w:p>
        </w:tc>
      </w:tr>
      <w:tr w:rsidR="006F5530" w:rsidRPr="00D5254B" w14:paraId="55F8AB4F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79017228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47856450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63662D99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61F02CEF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09434C97" w14:textId="77777777" w:rsidTr="00264701">
        <w:trPr>
          <w:jc w:val="center"/>
        </w:trPr>
        <w:tc>
          <w:tcPr>
            <w:tcW w:w="1417" w:type="dxa"/>
          </w:tcPr>
          <w:p w14:paraId="3FD0D16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Won't have</w:t>
            </w:r>
          </w:p>
        </w:tc>
        <w:tc>
          <w:tcPr>
            <w:tcW w:w="1984" w:type="dxa"/>
          </w:tcPr>
          <w:p w14:paraId="48FE8F9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843" w:type="dxa"/>
          </w:tcPr>
          <w:p w14:paraId="68D6B97D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4160" w:type="dxa"/>
          </w:tcPr>
          <w:p w14:paraId="1096EE5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se identificaron requisitos a excluir explícitamente del alcance funcional ya definido, dado que las exclusiones de alcance (diagnósticos definitivos sin validación humana, </w:t>
            </w: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prescripción automatizada de medicamentos, integración con sistemas gubernamentales de salud animal, facturación electrónica certificada ante el SRI, e-commerce — Sección 1.2) ya se filtraron en la fase de planificación (1A) y nunca entraron como RC/RF candidatos.</w:t>
            </w:r>
          </w:p>
        </w:tc>
      </w:tr>
    </w:tbl>
    <w:p w14:paraId="75DDF86C" w14:textId="77777777" w:rsidR="006F5530" w:rsidRPr="00D5254B" w:rsidRDefault="006F5530" w:rsidP="006F5530">
      <w:pPr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5254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lastRenderedPageBreak/>
        <w:br/>
      </w:r>
      <w:r w:rsidRPr="00D5254B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Resumen cuantitativo:</w:t>
      </w:r>
      <w:r w:rsidRPr="00D5254B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17 Must (71%), 6 Should (25%), 1 Could (4%), 0 Won't — consistente con la regla general de MoSCoW de no exceder ~60% en Must have. Ajustado al contexto académico del proyecto.</w:t>
      </w:r>
    </w:p>
    <w:p w14:paraId="5F903095" w14:textId="77777777" w:rsidR="006F5530" w:rsidRPr="00D5254B" w:rsidRDefault="006F5530" w:rsidP="006F553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1.</w:t>
      </w: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3. Matriz de trazabilidad parcial</w:t>
      </w:r>
    </w:p>
    <w:p w14:paraId="39A4ACF4" w14:textId="77777777" w:rsidR="006F5530" w:rsidRPr="00D5254B" w:rsidRDefault="006F5530" w:rsidP="006F553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5254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Trazabilidad evidencia de campo → requisito → caso de uso. Las evidencias EV-01 a EV-04 corresponden al registro de evidencias del Apéndice B (EV-01: entrevista a Dr. Antonio, 24/05/2026; EV-02: entrevista a Amagua, 25/05/2026; EV-03: acta de reunión firmada; EV-04: consentimiento informado firmado). Cuando un requisito no corresponde a uno de los 4 CU detallados en 4.2, se referencia el caso de uso equivalente del diagrama general (4.1).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4"/>
        <w:gridCol w:w="3858"/>
        <w:gridCol w:w="3196"/>
      </w:tblGrid>
      <w:tr w:rsidR="006F5530" w:rsidRPr="00D5254B" w14:paraId="13F32FEA" w14:textId="77777777" w:rsidTr="00264701">
        <w:trPr>
          <w:jc w:val="center"/>
        </w:trPr>
        <w:tc>
          <w:tcPr>
            <w:tcW w:w="1843" w:type="dxa"/>
            <w:shd w:val="clear" w:color="auto" w:fill="auto"/>
          </w:tcPr>
          <w:p w14:paraId="7D8BEAE6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111" w:type="dxa"/>
            <w:shd w:val="clear" w:color="auto" w:fill="auto"/>
          </w:tcPr>
          <w:p w14:paraId="7BBF66B9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3451" w:type="dxa"/>
            <w:shd w:val="clear" w:color="auto" w:fill="auto"/>
          </w:tcPr>
          <w:p w14:paraId="78D4BA12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Caso de Uso</w:t>
            </w:r>
          </w:p>
        </w:tc>
      </w:tr>
      <w:tr w:rsidR="006F5530" w:rsidRPr="00D5254B" w14:paraId="61FA4F6F" w14:textId="77777777" w:rsidTr="00264701">
        <w:trPr>
          <w:jc w:val="center"/>
        </w:trPr>
        <w:tc>
          <w:tcPr>
            <w:tcW w:w="1843" w:type="dxa"/>
          </w:tcPr>
          <w:p w14:paraId="7381E2B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58E3AE5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RF-01 — Registro de paciente</w:t>
            </w:r>
          </w:p>
        </w:tc>
        <w:tc>
          <w:tcPr>
            <w:tcW w:w="3451" w:type="dxa"/>
          </w:tcPr>
          <w:p w14:paraId="31A354D5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7A45710A" w14:textId="77777777" w:rsidTr="00264701">
        <w:trPr>
          <w:jc w:val="center"/>
        </w:trPr>
        <w:tc>
          <w:tcPr>
            <w:tcW w:w="1843" w:type="dxa"/>
          </w:tcPr>
          <w:p w14:paraId="5AC6504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0502B6C6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RF-02 — Búsqueda rápida por nombre del paciente y dueño</w:t>
            </w:r>
          </w:p>
        </w:tc>
        <w:tc>
          <w:tcPr>
            <w:tcW w:w="3451" w:type="dxa"/>
          </w:tcPr>
          <w:p w14:paraId="542A6A86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CU-03 Historial Clínico</w:t>
            </w:r>
          </w:p>
        </w:tc>
      </w:tr>
      <w:tr w:rsidR="006F5530" w:rsidRPr="00D5254B" w14:paraId="4B16FBC1" w14:textId="77777777" w:rsidTr="00264701">
        <w:trPr>
          <w:jc w:val="center"/>
        </w:trPr>
        <w:tc>
          <w:tcPr>
            <w:tcW w:w="1843" w:type="dxa"/>
          </w:tcPr>
          <w:p w14:paraId="550E8F15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2A93FB9C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RF-03 — Registro detallado de historial clínico</w:t>
            </w:r>
          </w:p>
        </w:tc>
        <w:tc>
          <w:tcPr>
            <w:tcW w:w="3451" w:type="dxa"/>
          </w:tcPr>
          <w:p w14:paraId="0A28677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4982C8CF" w14:textId="77777777" w:rsidTr="00264701">
        <w:trPr>
          <w:jc w:val="center"/>
        </w:trPr>
        <w:tc>
          <w:tcPr>
            <w:tcW w:w="1843" w:type="dxa"/>
          </w:tcPr>
          <w:p w14:paraId="4BC4F0A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5D522DAF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RF-04 — Actualización de historial clínico</w:t>
            </w:r>
          </w:p>
        </w:tc>
        <w:tc>
          <w:tcPr>
            <w:tcW w:w="3451" w:type="dxa"/>
          </w:tcPr>
          <w:p w14:paraId="34AF70AF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303210CE" w14:textId="77777777" w:rsidTr="00264701">
        <w:trPr>
          <w:jc w:val="center"/>
        </w:trPr>
        <w:tc>
          <w:tcPr>
            <w:tcW w:w="1843" w:type="dxa"/>
          </w:tcPr>
          <w:p w14:paraId="395E81D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EV-02</w:t>
            </w:r>
          </w:p>
        </w:tc>
        <w:tc>
          <w:tcPr>
            <w:tcW w:w="4111" w:type="dxa"/>
          </w:tcPr>
          <w:p w14:paraId="79A9053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RF-05 — Control de inventario con alertas de vencimiento</w:t>
            </w:r>
          </w:p>
        </w:tc>
        <w:tc>
          <w:tcPr>
            <w:tcW w:w="3451" w:type="dxa"/>
          </w:tcPr>
          <w:p w14:paraId="643A6B45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CU-04 Controlar Inventario</w:t>
            </w:r>
          </w:p>
        </w:tc>
      </w:tr>
      <w:tr w:rsidR="006F5530" w:rsidRPr="00D5254B" w14:paraId="1E23BB89" w14:textId="77777777" w:rsidTr="00264701">
        <w:trPr>
          <w:jc w:val="center"/>
        </w:trPr>
        <w:tc>
          <w:tcPr>
            <w:tcW w:w="1843" w:type="dxa"/>
          </w:tcPr>
          <w:p w14:paraId="0BBB876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344648B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RF-06 — Gestión de stock con alertas de faltantes</w:t>
            </w:r>
          </w:p>
        </w:tc>
        <w:tc>
          <w:tcPr>
            <w:tcW w:w="3451" w:type="dxa"/>
          </w:tcPr>
          <w:p w14:paraId="07608D9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CU-04 Controlar Inventario</w:t>
            </w:r>
          </w:p>
        </w:tc>
      </w:tr>
      <w:tr w:rsidR="006F5530" w:rsidRPr="00D5254B" w14:paraId="3EF54AE8" w14:textId="77777777" w:rsidTr="00264701">
        <w:trPr>
          <w:jc w:val="center"/>
        </w:trPr>
        <w:tc>
          <w:tcPr>
            <w:tcW w:w="1843" w:type="dxa"/>
          </w:tcPr>
          <w:p w14:paraId="5BDE31A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EV-02</w:t>
            </w:r>
          </w:p>
        </w:tc>
        <w:tc>
          <w:tcPr>
            <w:tcW w:w="4111" w:type="dxa"/>
          </w:tcPr>
          <w:p w14:paraId="762417C1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RF-07 — Registro del proceso de cobro</w:t>
            </w:r>
          </w:p>
        </w:tc>
        <w:tc>
          <w:tcPr>
            <w:tcW w:w="3451" w:type="dxa"/>
          </w:tcPr>
          <w:p w14:paraId="61B02E83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2FC2F4F6" w14:textId="77777777" w:rsidTr="00264701">
        <w:trPr>
          <w:jc w:val="center"/>
        </w:trPr>
        <w:tc>
          <w:tcPr>
            <w:tcW w:w="1843" w:type="dxa"/>
          </w:tcPr>
          <w:p w14:paraId="63476EA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EV-02</w:t>
            </w:r>
          </w:p>
        </w:tc>
        <w:tc>
          <w:tcPr>
            <w:tcW w:w="4111" w:type="dxa"/>
          </w:tcPr>
          <w:p w14:paraId="466D3511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RF-08 — Módulo de facturación ágil</w:t>
            </w:r>
          </w:p>
        </w:tc>
        <w:tc>
          <w:tcPr>
            <w:tcW w:w="3451" w:type="dxa"/>
          </w:tcPr>
          <w:p w14:paraId="6699A7B0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4492DDDE" w14:textId="77777777" w:rsidTr="00264701">
        <w:trPr>
          <w:jc w:val="center"/>
        </w:trPr>
        <w:tc>
          <w:tcPr>
            <w:tcW w:w="1843" w:type="dxa"/>
          </w:tcPr>
          <w:p w14:paraId="653C5C0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57A37081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RF-09 — Registro de comunicaciones post-consulta</w:t>
            </w:r>
          </w:p>
        </w:tc>
        <w:tc>
          <w:tcPr>
            <w:tcW w:w="3451" w:type="dxa"/>
          </w:tcPr>
          <w:p w14:paraId="341FD74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193571E9" w14:textId="77777777" w:rsidTr="00264701">
        <w:trPr>
          <w:jc w:val="center"/>
        </w:trPr>
        <w:tc>
          <w:tcPr>
            <w:tcW w:w="1843" w:type="dxa"/>
          </w:tcPr>
          <w:p w14:paraId="5156590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EV-02</w:t>
            </w:r>
          </w:p>
        </w:tc>
        <w:tc>
          <w:tcPr>
            <w:tcW w:w="4111" w:type="dxa"/>
          </w:tcPr>
          <w:p w14:paraId="78A2310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RF-10 — Envío de resultados por WhatsApp</w:t>
            </w:r>
          </w:p>
        </w:tc>
        <w:tc>
          <w:tcPr>
            <w:tcW w:w="3451" w:type="dxa"/>
          </w:tcPr>
          <w:p w14:paraId="01404220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7BDD5DB7" w14:textId="77777777" w:rsidTr="00264701">
        <w:trPr>
          <w:jc w:val="center"/>
        </w:trPr>
        <w:tc>
          <w:tcPr>
            <w:tcW w:w="1843" w:type="dxa"/>
          </w:tcPr>
          <w:p w14:paraId="325FB88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1D372A4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RF-11 — Registro de citas e inasistencias</w:t>
            </w:r>
          </w:p>
        </w:tc>
        <w:tc>
          <w:tcPr>
            <w:tcW w:w="3451" w:type="dxa"/>
          </w:tcPr>
          <w:p w14:paraId="685E11C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6F34C4A5" w14:textId="77777777" w:rsidTr="00264701">
        <w:trPr>
          <w:jc w:val="center"/>
        </w:trPr>
        <w:tc>
          <w:tcPr>
            <w:tcW w:w="1843" w:type="dxa"/>
          </w:tcPr>
          <w:p w14:paraId="76612A3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EV-02</w:t>
            </w:r>
          </w:p>
        </w:tc>
        <w:tc>
          <w:tcPr>
            <w:tcW w:w="4111" w:type="dxa"/>
          </w:tcPr>
          <w:p w14:paraId="089D8030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RF-12 — Recordatorios automáticos de citas</w:t>
            </w:r>
          </w:p>
        </w:tc>
        <w:tc>
          <w:tcPr>
            <w:tcW w:w="3451" w:type="dxa"/>
          </w:tcPr>
          <w:p w14:paraId="1D4B5CD3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3E7269A2" w14:textId="77777777" w:rsidTr="00264701">
        <w:trPr>
          <w:jc w:val="center"/>
        </w:trPr>
        <w:tc>
          <w:tcPr>
            <w:tcW w:w="1843" w:type="dxa"/>
          </w:tcPr>
          <w:p w14:paraId="5668DE6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10292E5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RF-13 — Registro de parámetros de crecimiento y peso</w:t>
            </w:r>
          </w:p>
        </w:tc>
        <w:tc>
          <w:tcPr>
            <w:tcW w:w="3451" w:type="dxa"/>
          </w:tcPr>
          <w:p w14:paraId="16E3DBC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39C207BF" w14:textId="77777777" w:rsidTr="00264701">
        <w:trPr>
          <w:jc w:val="center"/>
        </w:trPr>
        <w:tc>
          <w:tcPr>
            <w:tcW w:w="1843" w:type="dxa"/>
          </w:tcPr>
          <w:p w14:paraId="464B429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50478E46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RF-14 — Generación de recomendaciones nutricionales personalizadas</w:t>
            </w:r>
          </w:p>
        </w:tc>
        <w:tc>
          <w:tcPr>
            <w:tcW w:w="3451" w:type="dxa"/>
          </w:tcPr>
          <w:p w14:paraId="6429FC54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049BD215" w14:textId="77777777" w:rsidTr="00264701">
        <w:trPr>
          <w:jc w:val="center"/>
        </w:trPr>
        <w:tc>
          <w:tcPr>
            <w:tcW w:w="1843" w:type="dxa"/>
          </w:tcPr>
          <w:p w14:paraId="63AFED1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EV-02</w:t>
            </w:r>
          </w:p>
        </w:tc>
        <w:tc>
          <w:tcPr>
            <w:tcW w:w="4111" w:type="dxa"/>
          </w:tcPr>
          <w:p w14:paraId="6F26BEB4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RF-15 — Programación de recordatorios de seguimiento médico</w:t>
            </w:r>
          </w:p>
        </w:tc>
        <w:tc>
          <w:tcPr>
            <w:tcW w:w="3451" w:type="dxa"/>
          </w:tcPr>
          <w:p w14:paraId="3C6EE033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25C2B2ED" w14:textId="77777777" w:rsidTr="00264701">
        <w:trPr>
          <w:jc w:val="center"/>
        </w:trPr>
        <w:tc>
          <w:tcPr>
            <w:tcW w:w="1843" w:type="dxa"/>
          </w:tcPr>
          <w:p w14:paraId="68D7230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</w:t>
            </w:r>
          </w:p>
        </w:tc>
        <w:tc>
          <w:tcPr>
            <w:tcW w:w="4111" w:type="dxa"/>
          </w:tcPr>
          <w:p w14:paraId="2067B49D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RF-16 — Exportación de reportes de salud del paciente</w:t>
            </w:r>
          </w:p>
        </w:tc>
        <w:tc>
          <w:tcPr>
            <w:tcW w:w="3451" w:type="dxa"/>
          </w:tcPr>
          <w:p w14:paraId="4588A22F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CU-03 Historial Clínico</w:t>
            </w:r>
          </w:p>
        </w:tc>
      </w:tr>
      <w:tr w:rsidR="006F5530" w:rsidRPr="00D5254B" w14:paraId="6CDBB6B2" w14:textId="77777777" w:rsidTr="00264701">
        <w:trPr>
          <w:jc w:val="center"/>
        </w:trPr>
        <w:tc>
          <w:tcPr>
            <w:tcW w:w="1843" w:type="dxa"/>
          </w:tcPr>
          <w:p w14:paraId="3956FD5F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5943061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RF-17 — Sugerencias diagnósticas basadas en datos clínicos (con validación obligatoria)</w:t>
            </w:r>
          </w:p>
        </w:tc>
        <w:tc>
          <w:tcPr>
            <w:tcW w:w="3451" w:type="dxa"/>
          </w:tcPr>
          <w:p w14:paraId="7B4DA5B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6B776007" w14:textId="77777777" w:rsidTr="00264701">
        <w:trPr>
          <w:jc w:val="center"/>
        </w:trPr>
        <w:tc>
          <w:tcPr>
            <w:tcW w:w="1843" w:type="dxa"/>
          </w:tcPr>
          <w:p w14:paraId="43FCBAAF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51929454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RF-18 — Respaldo de recomendaciones en literatura científica veterinaria validada</w:t>
            </w:r>
          </w:p>
        </w:tc>
        <w:tc>
          <w:tcPr>
            <w:tcW w:w="3451" w:type="dxa"/>
          </w:tcPr>
          <w:p w14:paraId="7F5142A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04B4E67A" w14:textId="77777777" w:rsidTr="00264701">
        <w:trPr>
          <w:jc w:val="center"/>
        </w:trPr>
        <w:tc>
          <w:tcPr>
            <w:tcW w:w="1843" w:type="dxa"/>
          </w:tcPr>
          <w:p w14:paraId="5DABD883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249E100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RF-19 — Capacidad de revisión y corrección de sugerencias de IA por parte del veterinario</w:t>
            </w:r>
          </w:p>
        </w:tc>
        <w:tc>
          <w:tcPr>
            <w:tcW w:w="3451" w:type="dxa"/>
          </w:tcPr>
          <w:p w14:paraId="5EDAA33B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  <w:tr w:rsidR="006F5530" w:rsidRPr="00D5254B" w14:paraId="5E25E8FD" w14:textId="77777777" w:rsidTr="00264701">
        <w:trPr>
          <w:jc w:val="center"/>
        </w:trPr>
        <w:tc>
          <w:tcPr>
            <w:tcW w:w="1843" w:type="dxa"/>
          </w:tcPr>
          <w:p w14:paraId="2AFA9A35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EV-01, EV-02</w:t>
            </w:r>
          </w:p>
        </w:tc>
        <w:tc>
          <w:tcPr>
            <w:tcW w:w="4111" w:type="dxa"/>
          </w:tcPr>
          <w:p w14:paraId="6AFAAC75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RF-20 — Interfaz sencilla sin capacitación prolongada</w:t>
            </w:r>
          </w:p>
        </w:tc>
        <w:tc>
          <w:tcPr>
            <w:tcW w:w="3451" w:type="dxa"/>
          </w:tcPr>
          <w:p w14:paraId="2DB6F01A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CU-01 Iniciar Sesión</w:t>
            </w:r>
          </w:p>
        </w:tc>
      </w:tr>
      <w:tr w:rsidR="006F5530" w:rsidRPr="00D5254B" w14:paraId="796F3D2B" w14:textId="77777777" w:rsidTr="00264701">
        <w:trPr>
          <w:jc w:val="center"/>
        </w:trPr>
        <w:tc>
          <w:tcPr>
            <w:tcW w:w="1843" w:type="dxa"/>
          </w:tcPr>
          <w:p w14:paraId="6F68200D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EV-01, EV-02</w:t>
            </w:r>
          </w:p>
        </w:tc>
        <w:tc>
          <w:tcPr>
            <w:tcW w:w="4111" w:type="dxa"/>
          </w:tcPr>
          <w:p w14:paraId="08A29361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RF-21 — Operación con baja dependencia de conectividad permanente</w:t>
            </w:r>
          </w:p>
        </w:tc>
        <w:tc>
          <w:tcPr>
            <w:tcW w:w="3451" w:type="dxa"/>
          </w:tcPr>
          <w:p w14:paraId="5FFC9F11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 Registrar Atención Clínica</w:t>
            </w:r>
          </w:p>
        </w:tc>
      </w:tr>
    </w:tbl>
    <w:p w14:paraId="279AE35C" w14:textId="77777777" w:rsidR="004C4481" w:rsidRDefault="004C4481"/>
    <w:sectPr w:rsidR="004C44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30"/>
    <w:rsid w:val="000D25C4"/>
    <w:rsid w:val="004C4481"/>
    <w:rsid w:val="006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0243"/>
  <w15:chartTrackingRefBased/>
  <w15:docId w15:val="{1A60D99B-E94B-4793-866B-5F12D000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30"/>
    <w:pPr>
      <w:spacing w:after="200" w:line="276" w:lineRule="auto"/>
    </w:pPr>
    <w:rPr>
      <w:rFonts w:eastAsiaTheme="minorEastAsia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55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F553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</dc:creator>
  <cp:keywords/>
  <dc:description/>
  <cp:lastModifiedBy>Carlos Daniel</cp:lastModifiedBy>
  <cp:revision>1</cp:revision>
  <dcterms:created xsi:type="dcterms:W3CDTF">2026-06-30T05:50:00Z</dcterms:created>
  <dcterms:modified xsi:type="dcterms:W3CDTF">2026-06-30T05:51:00Z</dcterms:modified>
</cp:coreProperties>
</file>