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1"/>
        <w:gridCol w:w="836"/>
        <w:gridCol w:w="1500"/>
        <w:gridCol w:w="1544"/>
        <w:gridCol w:w="2373"/>
      </w:tblGrid>
      <w:tr w:rsidR="0062294F" w:rsidTr="0062294F">
        <w:tc>
          <w:tcPr>
            <w:tcW w:w="2263" w:type="dxa"/>
            <w:tcBorders>
              <w:right w:val="nil"/>
            </w:tcBorders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28" w:type="dxa"/>
            <w:gridSpan w:val="3"/>
            <w:tcBorders>
              <w:left w:val="nil"/>
              <w:right w:val="nil"/>
            </w:tcBorders>
          </w:tcPr>
          <w:p w:rsidR="0062294F" w:rsidRPr="0062294F" w:rsidRDefault="0062294F" w:rsidP="0062294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2294F">
              <w:rPr>
                <w:rFonts w:ascii="Times New Roman" w:hAnsi="Times New Roman" w:cs="Times New Roman"/>
                <w:b/>
              </w:rPr>
              <w:t>Relaciones Principales y Multiplicidad</w:t>
            </w:r>
          </w:p>
        </w:tc>
        <w:tc>
          <w:tcPr>
            <w:tcW w:w="2403" w:type="dxa"/>
            <w:tcBorders>
              <w:left w:val="nil"/>
            </w:tcBorders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</w:p>
        </w:tc>
      </w:tr>
      <w:tr w:rsidR="0062294F" w:rsidTr="0062294F">
        <w:tc>
          <w:tcPr>
            <w:tcW w:w="3114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  <w:b/>
              </w:rPr>
            </w:pPr>
            <w:r w:rsidRPr="0062294F">
              <w:rPr>
                <w:rFonts w:ascii="Times New Roman" w:hAnsi="Times New Roman" w:cs="Times New Roman"/>
                <w:b/>
              </w:rPr>
              <w:t>Relación</w:t>
            </w:r>
          </w:p>
        </w:tc>
        <w:tc>
          <w:tcPr>
            <w:tcW w:w="1417" w:type="dxa"/>
          </w:tcPr>
          <w:p w:rsidR="0062294F" w:rsidRPr="0062294F" w:rsidRDefault="0062294F">
            <w:pPr>
              <w:rPr>
                <w:rFonts w:ascii="Times New Roman" w:hAnsi="Times New Roman" w:cs="Times New Roman"/>
                <w:b/>
              </w:rPr>
            </w:pPr>
            <w:r w:rsidRPr="0062294F">
              <w:rPr>
                <w:rFonts w:ascii="Times New Roman" w:hAnsi="Times New Roman" w:cs="Times New Roman"/>
                <w:b/>
              </w:rPr>
              <w:t>Multiplicidad</w:t>
            </w:r>
          </w:p>
        </w:tc>
        <w:tc>
          <w:tcPr>
            <w:tcW w:w="3963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  <w:b/>
              </w:rPr>
            </w:pPr>
            <w:r w:rsidRPr="0062294F">
              <w:rPr>
                <w:rFonts w:ascii="Times New Roman" w:hAnsi="Times New Roman" w:cs="Times New Roman"/>
                <w:b/>
              </w:rPr>
              <w:t>Justificación</w:t>
            </w:r>
          </w:p>
        </w:tc>
      </w:tr>
      <w:tr w:rsidR="0062294F" w:rsidTr="0062294F">
        <w:tc>
          <w:tcPr>
            <w:tcW w:w="3114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Usuario - Administrador</w:t>
            </w:r>
          </w:p>
        </w:tc>
        <w:tc>
          <w:tcPr>
            <w:tcW w:w="1417" w:type="dxa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No aplica</w:t>
            </w:r>
          </w:p>
        </w:tc>
        <w:tc>
          <w:tcPr>
            <w:tcW w:w="3963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Un administrador es un tipo de usuario, por lo que hereda sus atributos y características generales.</w:t>
            </w:r>
          </w:p>
        </w:tc>
      </w:tr>
      <w:tr w:rsidR="0062294F" w:rsidTr="0062294F">
        <w:tc>
          <w:tcPr>
            <w:tcW w:w="3114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Usuario — Veterinario</w:t>
            </w:r>
          </w:p>
        </w:tc>
        <w:tc>
          <w:tcPr>
            <w:tcW w:w="1417" w:type="dxa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No aplica</w:t>
            </w:r>
          </w:p>
        </w:tc>
        <w:tc>
          <w:tcPr>
            <w:tcW w:w="3963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Un veterinario es un tipo de usuario, compartiendo la información común definida en la clase Usuario.</w:t>
            </w:r>
          </w:p>
        </w:tc>
      </w:tr>
      <w:tr w:rsidR="0062294F" w:rsidTr="0062294F">
        <w:tc>
          <w:tcPr>
            <w:tcW w:w="3114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Cliente — Paciente</w:t>
            </w:r>
          </w:p>
          <w:p w:rsidR="0062294F" w:rsidRPr="0062294F" w:rsidRDefault="0062294F" w:rsidP="0062294F">
            <w:pPr>
              <w:ind w:firstLine="708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1:</w:t>
            </w:r>
            <w:r w:rsidRPr="0062294F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3963" w:type="dxa"/>
            <w:gridSpan w:val="2"/>
          </w:tcPr>
          <w:p w:rsidR="0062294F" w:rsidRPr="0062294F" w:rsidRDefault="0062294F" w:rsidP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Un cliente puede ser propietario de varias mascotas, mientras que cada paciente pertenece a un único cliente.</w:t>
            </w:r>
          </w:p>
        </w:tc>
      </w:tr>
      <w:tr w:rsidR="0062294F" w:rsidTr="0062294F">
        <w:tc>
          <w:tcPr>
            <w:tcW w:w="3114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Paciente — Historial</w:t>
            </w:r>
          </w:p>
        </w:tc>
        <w:tc>
          <w:tcPr>
            <w:tcW w:w="1417" w:type="dxa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1:</w:t>
            </w:r>
            <w:r w:rsidRPr="0062294F">
              <w:rPr>
                <w:rFonts w:ascii="Times New Roman" w:hAnsi="Times New Roman" w:cs="Times New Roman"/>
              </w:rPr>
              <w:t xml:space="preserve"> </w:t>
            </w:r>
            <w:r w:rsidRPr="006229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3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Cada paciente posee un único historial clínico, el cual no puede existir sin el paciente.</w:t>
            </w:r>
          </w:p>
        </w:tc>
      </w:tr>
      <w:tr w:rsidR="0062294F" w:rsidTr="0062294F">
        <w:tc>
          <w:tcPr>
            <w:tcW w:w="3114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Paciente — Atención</w:t>
            </w:r>
            <w:r w:rsidRPr="0062294F">
              <w:rPr>
                <w:rFonts w:ascii="Times New Roman" w:hAnsi="Times New Roman" w:cs="Times New Roman"/>
              </w:rPr>
              <w:t xml:space="preserve"> Clínica</w:t>
            </w:r>
          </w:p>
        </w:tc>
        <w:tc>
          <w:tcPr>
            <w:tcW w:w="1417" w:type="dxa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1:</w:t>
            </w:r>
            <w:r w:rsidRPr="0062294F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3963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Un paciente puede recibir múltiples atenciones clínicas a lo largo del tiempo, pero cada atención corresponde a un único paciente.</w:t>
            </w:r>
          </w:p>
        </w:tc>
      </w:tr>
      <w:tr w:rsidR="0062294F" w:rsidTr="0062294F">
        <w:tc>
          <w:tcPr>
            <w:tcW w:w="3114" w:type="dxa"/>
            <w:gridSpan w:val="2"/>
          </w:tcPr>
          <w:p w:rsidR="0062294F" w:rsidRPr="0062294F" w:rsidRDefault="0062294F" w:rsidP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Historial Clínico — Atención Clínica</w:t>
            </w:r>
          </w:p>
        </w:tc>
        <w:tc>
          <w:tcPr>
            <w:tcW w:w="1417" w:type="dxa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1:</w:t>
            </w:r>
            <w:r w:rsidRPr="0062294F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3963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Un historial clínico almacena todas las atenciones realizadas al paciente y estas no tienen sentido sin el historial al que pertenecen.</w:t>
            </w:r>
          </w:p>
        </w:tc>
      </w:tr>
      <w:tr w:rsidR="0062294F" w:rsidTr="0062294F">
        <w:tc>
          <w:tcPr>
            <w:tcW w:w="3114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Veterinario — Atención Clínica</w:t>
            </w:r>
          </w:p>
          <w:p w:rsidR="0062294F" w:rsidRPr="0062294F" w:rsidRDefault="0062294F" w:rsidP="0062294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1:</w:t>
            </w:r>
            <w:r w:rsidRPr="0062294F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3963" w:type="dxa"/>
            <w:gridSpan w:val="2"/>
          </w:tcPr>
          <w:p w:rsidR="0062294F" w:rsidRPr="0062294F" w:rsidRDefault="0062294F" w:rsidP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Un veterinario puede realizar numerosas atenciones clínicas, mientras que cada atención es realizada por un único veterinario</w:t>
            </w:r>
          </w:p>
        </w:tc>
      </w:tr>
      <w:tr w:rsidR="0062294F" w:rsidTr="0062294F">
        <w:tc>
          <w:tcPr>
            <w:tcW w:w="3114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Administrador — Inventario</w:t>
            </w:r>
          </w:p>
          <w:p w:rsidR="0062294F" w:rsidRPr="0062294F" w:rsidRDefault="0062294F" w:rsidP="0062294F">
            <w:pPr>
              <w:ind w:firstLine="708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1:</w:t>
            </w:r>
            <w:r w:rsidRPr="0062294F">
              <w:rPr>
                <w:rFonts w:ascii="Times New Roman" w:hAnsi="Times New Roman" w:cs="Times New Roman"/>
              </w:rPr>
              <w:t xml:space="preserve"> </w:t>
            </w:r>
            <w:r w:rsidRPr="0062294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3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El administrador supervisa el inventario del sistema, siendo responsable de su gestión y actualización.</w:t>
            </w:r>
          </w:p>
        </w:tc>
      </w:tr>
      <w:tr w:rsidR="0062294F" w:rsidTr="0062294F">
        <w:tc>
          <w:tcPr>
            <w:tcW w:w="3114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Inventario — Producto</w:t>
            </w:r>
          </w:p>
        </w:tc>
        <w:tc>
          <w:tcPr>
            <w:tcW w:w="1417" w:type="dxa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1:</w:t>
            </w:r>
            <w:r w:rsidRPr="0062294F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3963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Un inventario administra múltiples productos. Los productos pueden existir independientemente del inventario, por lo que no existe dependencia de vida.</w:t>
            </w:r>
          </w:p>
        </w:tc>
      </w:tr>
      <w:tr w:rsidR="0062294F" w:rsidTr="0062294F">
        <w:tc>
          <w:tcPr>
            <w:tcW w:w="3114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Inventario — Notificación</w:t>
            </w:r>
          </w:p>
        </w:tc>
        <w:tc>
          <w:tcPr>
            <w:tcW w:w="1417" w:type="dxa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1:</w:t>
            </w:r>
            <w:r w:rsidRPr="0062294F">
              <w:rPr>
                <w:rFonts w:ascii="Times New Roman" w:hAnsi="Times New Roman" w:cs="Times New Roman"/>
              </w:rPr>
              <w:t xml:space="preserve"> N</w:t>
            </w:r>
          </w:p>
        </w:tc>
        <w:tc>
          <w:tcPr>
            <w:tcW w:w="3963" w:type="dxa"/>
            <w:gridSpan w:val="2"/>
          </w:tcPr>
          <w:p w:rsidR="0062294F" w:rsidRPr="0062294F" w:rsidRDefault="0062294F">
            <w:pPr>
              <w:rPr>
                <w:rFonts w:ascii="Times New Roman" w:hAnsi="Times New Roman" w:cs="Times New Roman"/>
              </w:rPr>
            </w:pPr>
            <w:r w:rsidRPr="0062294F">
              <w:rPr>
                <w:rFonts w:ascii="Times New Roman" w:hAnsi="Times New Roman" w:cs="Times New Roman"/>
              </w:rPr>
              <w:t>El inventario puede generar múltiples notificaciones relacionadas con bajo stock o vencimiento de productos, dependiendo de su estado.</w:t>
            </w:r>
          </w:p>
        </w:tc>
      </w:tr>
    </w:tbl>
    <w:p w:rsidR="00B318CC" w:rsidRDefault="00B318CC"/>
    <w:p w:rsidR="0062294F" w:rsidRDefault="0062294F">
      <w:bookmarkStart w:id="0" w:name="_GoBack"/>
      <w:r>
        <w:rPr>
          <w:noProof/>
        </w:rPr>
        <w:lastRenderedPageBreak/>
        <w:drawing>
          <wp:inline distT="0" distB="0" distL="0" distR="0">
            <wp:extent cx="5400675" cy="36385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229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4F"/>
    <w:rsid w:val="0062294F"/>
    <w:rsid w:val="009D63BB"/>
    <w:rsid w:val="00B3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EE615"/>
  <w15:chartTrackingRefBased/>
  <w15:docId w15:val="{A0F3AC76-A731-42A9-B0EE-259F44A8C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22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ANTHONYVERA</dc:creator>
  <cp:keywords/>
  <dc:description/>
  <cp:lastModifiedBy>ANTHONYVERA</cp:lastModifiedBy>
  <cp:revision>1</cp:revision>
  <dcterms:created xsi:type="dcterms:W3CDTF">2026-06-29T13:37:00Z</dcterms:created>
  <dcterms:modified xsi:type="dcterms:W3CDTF">2026-06-29T13:48:00Z</dcterms:modified>
</cp:coreProperties>
</file>