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07F7" w14:textId="16B9FFE2" w:rsidR="008F0EB2" w:rsidRDefault="00E80A43" w:rsidP="00E80A43">
      <w:r w:rsidRPr="00E80A43">
        <w:rPr>
          <w:noProof/>
        </w:rPr>
        <w:drawing>
          <wp:inline distT="0" distB="0" distL="0" distR="0" wp14:anchorId="789A42F6" wp14:editId="669E2076">
            <wp:extent cx="5943600" cy="4623435"/>
            <wp:effectExtent l="0" t="0" r="0" b="5715"/>
            <wp:docPr id="15940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98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F93" w14:textId="77777777" w:rsidR="00F64EE7" w:rsidRDefault="00F64EE7" w:rsidP="00E80A43"/>
    <w:p w14:paraId="55666F70" w14:textId="77777777" w:rsidR="00F64EE7" w:rsidRDefault="00F64EE7" w:rsidP="00E80A43"/>
    <w:p w14:paraId="5C228D41" w14:textId="3A3E9495" w:rsidR="00F64EE7" w:rsidRDefault="00606A7B" w:rsidP="00E80A43">
      <w:r w:rsidRPr="00606A7B">
        <w:rPr>
          <w:noProof/>
        </w:rPr>
        <w:lastRenderedPageBreak/>
        <w:drawing>
          <wp:inline distT="0" distB="0" distL="0" distR="0" wp14:anchorId="0DD6E934" wp14:editId="3FC65765">
            <wp:extent cx="5943600" cy="4182745"/>
            <wp:effectExtent l="0" t="0" r="0" b="8255"/>
            <wp:docPr id="1503253774" name="Picture 1" descr="A graph of different j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3774" name="Picture 1" descr="A graph of different job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2B0D" w14:textId="77777777" w:rsidR="00606A7B" w:rsidRDefault="00606A7B" w:rsidP="00E80A43"/>
    <w:p w14:paraId="1A4343D7" w14:textId="7E938A54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7D2EB3D8" wp14:editId="4A39255B">
            <wp:extent cx="5943600" cy="4922520"/>
            <wp:effectExtent l="0" t="0" r="0" b="0"/>
            <wp:docPr id="783683468" name="Picture 1" descr="A graph with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3468" name="Picture 1" descr="A graph with orang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57AE" w14:textId="77777777" w:rsidR="00606A7B" w:rsidRDefault="00606A7B" w:rsidP="00E80A43"/>
    <w:p w14:paraId="33D52833" w14:textId="77777777" w:rsidR="00606A7B" w:rsidRDefault="00606A7B" w:rsidP="00E80A43"/>
    <w:p w14:paraId="65A0B042" w14:textId="12029905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08B514A9" wp14:editId="0394A10F">
            <wp:extent cx="5943600" cy="5030470"/>
            <wp:effectExtent l="0" t="0" r="0" b="0"/>
            <wp:docPr id="1345213690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13690" name="Picture 1" descr="A graph of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221" w14:textId="3BC83347" w:rsidR="00F64EE7" w:rsidRDefault="00F64EE7" w:rsidP="00E80A43">
      <w:r w:rsidRPr="00F64EE7">
        <w:rPr>
          <w:noProof/>
        </w:rPr>
        <w:lastRenderedPageBreak/>
        <w:drawing>
          <wp:inline distT="0" distB="0" distL="0" distR="0" wp14:anchorId="0A640BE7" wp14:editId="3D53E977">
            <wp:extent cx="4581525" cy="4781550"/>
            <wp:effectExtent l="0" t="0" r="9525" b="0"/>
            <wp:docPr id="1351232400" name="Picture 1" descr="A yellow circle with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2400" name="Picture 1" descr="A yellow circle with a number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148" w14:textId="77777777" w:rsidR="00606A7B" w:rsidRDefault="00606A7B" w:rsidP="00E80A43"/>
    <w:p w14:paraId="2F6E9BA8" w14:textId="28EC5F49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0F102A85" wp14:editId="53660E39">
            <wp:extent cx="5943600" cy="4565650"/>
            <wp:effectExtent l="0" t="0" r="0" b="6350"/>
            <wp:docPr id="578997634" name="Picture 1" descr="A graph of a distribution of yearly bal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7634" name="Picture 1" descr="A graph of a distribution of yearly balan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AD96" w14:textId="77777777" w:rsidR="00606A7B" w:rsidRDefault="00606A7B" w:rsidP="00E80A43"/>
    <w:p w14:paraId="198A0AE6" w14:textId="77777777" w:rsidR="00606A7B" w:rsidRDefault="00606A7B" w:rsidP="00E80A43"/>
    <w:p w14:paraId="6BD7553A" w14:textId="68E8821A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3AD410D0" wp14:editId="4EBEB114">
            <wp:extent cx="5943600" cy="4565650"/>
            <wp:effectExtent l="0" t="0" r="0" b="6350"/>
            <wp:docPr id="1127052436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52436" name="Picture 1" descr="A graph of a number of peop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42C2" w14:textId="77777777" w:rsidR="00606A7B" w:rsidRDefault="00606A7B" w:rsidP="00E80A43"/>
    <w:p w14:paraId="4597ADB4" w14:textId="77777777" w:rsidR="00606A7B" w:rsidRDefault="00606A7B" w:rsidP="00E80A43"/>
    <w:p w14:paraId="15A06EBC" w14:textId="77777777" w:rsidR="00606A7B" w:rsidRDefault="00606A7B" w:rsidP="00E80A43"/>
    <w:p w14:paraId="0A9CE3D6" w14:textId="33E49CC4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645EE352" wp14:editId="19AC4F0C">
            <wp:extent cx="5943600" cy="4922520"/>
            <wp:effectExtent l="0" t="0" r="0" b="0"/>
            <wp:docPr id="580742274" name="Picture 1" descr="A graph of different types of communication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2274" name="Picture 1" descr="A graph of different types of communication ty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D262" w14:textId="77777777" w:rsidR="00606A7B" w:rsidRDefault="00606A7B" w:rsidP="00E80A43"/>
    <w:p w14:paraId="7179FB29" w14:textId="77777777" w:rsidR="00606A7B" w:rsidRDefault="00606A7B" w:rsidP="00E80A43"/>
    <w:p w14:paraId="300EC914" w14:textId="576E896D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469B1016" wp14:editId="1EA8E041">
            <wp:extent cx="5943600" cy="3792220"/>
            <wp:effectExtent l="0" t="0" r="0" b="0"/>
            <wp:docPr id="1366077445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7445" name="Picture 1" descr="A graph of a number of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406" w14:textId="77777777" w:rsidR="00606A7B" w:rsidRDefault="00606A7B" w:rsidP="00E80A43"/>
    <w:p w14:paraId="25A84F9D" w14:textId="77777777" w:rsidR="00606A7B" w:rsidRDefault="00606A7B" w:rsidP="00E80A43"/>
    <w:p w14:paraId="20525EBE" w14:textId="10EE1F78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1A3A05DA" wp14:editId="58EA74C7">
            <wp:extent cx="5943600" cy="4698365"/>
            <wp:effectExtent l="0" t="0" r="0" b="6985"/>
            <wp:docPr id="1305609471" name="Picture 1" descr="A graph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9471" name="Picture 1" descr="A graph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0C3E" w14:textId="77777777" w:rsidR="00606A7B" w:rsidRDefault="00606A7B" w:rsidP="00E80A43"/>
    <w:p w14:paraId="281EC40C" w14:textId="77777777" w:rsidR="00606A7B" w:rsidRDefault="00606A7B" w:rsidP="00E80A43"/>
    <w:p w14:paraId="09F0215D" w14:textId="77777777" w:rsidR="00606A7B" w:rsidRDefault="00606A7B" w:rsidP="00E80A43"/>
    <w:p w14:paraId="1F8EDCFA" w14:textId="77777777" w:rsidR="00606A7B" w:rsidRDefault="00606A7B" w:rsidP="00E80A43"/>
    <w:p w14:paraId="5354E592" w14:textId="06649DB6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5D02FBA0" wp14:editId="63EE649D">
            <wp:extent cx="5943600" cy="4565650"/>
            <wp:effectExtent l="0" t="0" r="0" b="6350"/>
            <wp:docPr id="1660383109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3109" name="Picture 1" descr="A graph with 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230" w14:textId="77777777" w:rsidR="00606A7B" w:rsidRDefault="00606A7B" w:rsidP="00E80A43"/>
    <w:p w14:paraId="4E030DEA" w14:textId="77777777" w:rsidR="00606A7B" w:rsidRDefault="00606A7B" w:rsidP="00E80A43"/>
    <w:p w14:paraId="4B5B387F" w14:textId="77777777" w:rsidR="00606A7B" w:rsidRDefault="00606A7B" w:rsidP="00E80A43"/>
    <w:p w14:paraId="7CD3559A" w14:textId="75D9EFAB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44CC6E61" wp14:editId="1CAF33CF">
            <wp:extent cx="5943600" cy="4590415"/>
            <wp:effectExtent l="0" t="0" r="0" b="635"/>
            <wp:docPr id="2037541232" name="Picture 1" descr="A graph of contact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1232" name="Picture 1" descr="A graph of contact inform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24B" w14:textId="77777777" w:rsidR="00606A7B" w:rsidRDefault="00606A7B" w:rsidP="00E80A43"/>
    <w:p w14:paraId="0DA9C0C4" w14:textId="77777777" w:rsidR="00606A7B" w:rsidRDefault="00606A7B" w:rsidP="00E80A43"/>
    <w:p w14:paraId="06372279" w14:textId="77777777" w:rsidR="00606A7B" w:rsidRDefault="00606A7B" w:rsidP="00E80A43"/>
    <w:p w14:paraId="7A755C76" w14:textId="6896A260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75E025C6" wp14:editId="5E7BCA11">
            <wp:extent cx="5943600" cy="4565650"/>
            <wp:effectExtent l="0" t="0" r="0" b="6350"/>
            <wp:docPr id="1936682008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2008" name="Picture 1" descr="A graph with numbers and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4347" w14:textId="77777777" w:rsidR="00606A7B" w:rsidRDefault="00606A7B" w:rsidP="00E80A43"/>
    <w:p w14:paraId="031FC77D" w14:textId="77777777" w:rsidR="00606A7B" w:rsidRDefault="00606A7B" w:rsidP="00E80A43"/>
    <w:p w14:paraId="04A375EF" w14:textId="77777777" w:rsidR="00606A7B" w:rsidRDefault="00606A7B" w:rsidP="00E80A43"/>
    <w:p w14:paraId="4BDFEE74" w14:textId="77777777" w:rsidR="00606A7B" w:rsidRDefault="00606A7B" w:rsidP="00E80A43"/>
    <w:p w14:paraId="6C4C1B43" w14:textId="1B089C66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3464ADA0" wp14:editId="32C10808">
            <wp:extent cx="5943600" cy="4657090"/>
            <wp:effectExtent l="0" t="0" r="0" b="0"/>
            <wp:docPr id="169337494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4943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C35" w14:textId="77777777" w:rsidR="00606A7B" w:rsidRDefault="00606A7B" w:rsidP="00E80A43"/>
    <w:p w14:paraId="1849270A" w14:textId="77777777" w:rsidR="00606A7B" w:rsidRDefault="00606A7B" w:rsidP="00E80A43"/>
    <w:p w14:paraId="3767E573" w14:textId="77777777" w:rsidR="00606A7B" w:rsidRDefault="00606A7B" w:rsidP="00E80A43"/>
    <w:p w14:paraId="7802990A" w14:textId="22A0A246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077E12A0" wp14:editId="5FDFE8CF">
            <wp:extent cx="5943600" cy="4955540"/>
            <wp:effectExtent l="0" t="0" r="0" b="0"/>
            <wp:docPr id="1141840149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40149" name="Picture 1" descr="A graph with blue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D582" w14:textId="77777777" w:rsidR="00606A7B" w:rsidRDefault="00606A7B" w:rsidP="00E80A43"/>
    <w:p w14:paraId="2B18CBA1" w14:textId="77777777" w:rsidR="00606A7B" w:rsidRDefault="00606A7B" w:rsidP="00E80A43"/>
    <w:p w14:paraId="08C4D933" w14:textId="77777777" w:rsidR="00606A7B" w:rsidRDefault="00606A7B" w:rsidP="00E80A43"/>
    <w:p w14:paraId="1352DBE7" w14:textId="5440EA72" w:rsidR="00606A7B" w:rsidRDefault="00606A7B" w:rsidP="00E80A43">
      <w:r w:rsidRPr="00606A7B">
        <w:rPr>
          <w:noProof/>
        </w:rPr>
        <w:lastRenderedPageBreak/>
        <w:drawing>
          <wp:inline distT="0" distB="0" distL="0" distR="0" wp14:anchorId="596EEE8E" wp14:editId="38A511D9">
            <wp:extent cx="4581525" cy="4781550"/>
            <wp:effectExtent l="0" t="0" r="9525" b="0"/>
            <wp:docPr id="1625557381" name="Picture 1" descr="A red circle with green and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7381" name="Picture 1" descr="A red circle with green and red circl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3DE" w14:textId="77777777" w:rsidR="00846500" w:rsidRDefault="00846500" w:rsidP="00E80A43"/>
    <w:p w14:paraId="2C390468" w14:textId="77777777" w:rsidR="00F12A58" w:rsidRDefault="00F12A58" w:rsidP="00E80A43"/>
    <w:p w14:paraId="794680F5" w14:textId="77777777" w:rsidR="00F12A58" w:rsidRDefault="00F12A58" w:rsidP="00E80A43"/>
    <w:p w14:paraId="20B5EEC3" w14:textId="77777777" w:rsidR="00F12A58" w:rsidRDefault="00F12A58" w:rsidP="00E80A43"/>
    <w:p w14:paraId="451D2143" w14:textId="77777777" w:rsidR="00F12A58" w:rsidRDefault="00F12A58" w:rsidP="00E80A43"/>
    <w:p w14:paraId="3992D4C0" w14:textId="77777777" w:rsidR="00F12A58" w:rsidRDefault="00F12A58" w:rsidP="00E80A43"/>
    <w:p w14:paraId="6BF3BD2F" w14:textId="77777777" w:rsidR="00F12A58" w:rsidRDefault="00F12A58" w:rsidP="00E80A43"/>
    <w:p w14:paraId="1EFBC6CE" w14:textId="77777777" w:rsidR="00F12A58" w:rsidRDefault="00F12A58" w:rsidP="00E80A43"/>
    <w:p w14:paraId="64DF0769" w14:textId="77777777" w:rsidR="00F12A58" w:rsidRDefault="00F12A58" w:rsidP="00E80A43"/>
    <w:p w14:paraId="47DD4B00" w14:textId="3AE8296E" w:rsidR="00F12A58" w:rsidRDefault="00F12A58" w:rsidP="00E80A43">
      <w:r w:rsidRPr="00F12A58">
        <w:lastRenderedPageBreak/>
        <w:drawing>
          <wp:inline distT="0" distB="0" distL="0" distR="0" wp14:anchorId="778A3D6C" wp14:editId="36D04718">
            <wp:extent cx="5943600" cy="4982845"/>
            <wp:effectExtent l="0" t="0" r="0" b="8255"/>
            <wp:docPr id="14423001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00161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DBB1" w14:textId="77777777" w:rsidR="00F12A58" w:rsidRDefault="00F12A58" w:rsidP="00E80A43"/>
    <w:p w14:paraId="0D4C3B6A" w14:textId="77777777" w:rsidR="00F12A58" w:rsidRDefault="00F12A58" w:rsidP="00E80A43"/>
    <w:p w14:paraId="717AB970" w14:textId="77777777" w:rsidR="00F12A58" w:rsidRDefault="00F12A58" w:rsidP="00E80A43"/>
    <w:p w14:paraId="1AF46D56" w14:textId="77777777" w:rsidR="00F12A58" w:rsidRDefault="00F12A58" w:rsidP="00E80A43"/>
    <w:p w14:paraId="34A3EEC7" w14:textId="123C0A51" w:rsidR="00F12A58" w:rsidRDefault="00F12A58" w:rsidP="00E80A43">
      <w:r w:rsidRPr="00F12A58">
        <w:lastRenderedPageBreak/>
        <w:drawing>
          <wp:inline distT="0" distB="0" distL="0" distR="0" wp14:anchorId="24648FC2" wp14:editId="19A9FCF5">
            <wp:extent cx="5943600" cy="4944533"/>
            <wp:effectExtent l="0" t="0" r="0" b="8890"/>
            <wp:docPr id="1087066880" name="Picture 1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66880" name="Picture 1" descr="A graph of different colored dot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715" cy="49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B7F" w14:textId="77777777" w:rsidR="00846500" w:rsidRDefault="00846500" w:rsidP="00E80A43"/>
    <w:p w14:paraId="29375319" w14:textId="77777777" w:rsidR="00846500" w:rsidRDefault="00846500" w:rsidP="00E80A43"/>
    <w:p w14:paraId="07539FDC" w14:textId="77777777" w:rsidR="00846500" w:rsidRDefault="00846500" w:rsidP="00E80A43"/>
    <w:p w14:paraId="7DCFC1A4" w14:textId="77777777" w:rsidR="00F12A58" w:rsidRDefault="00F12A58" w:rsidP="00E80A43"/>
    <w:p w14:paraId="350DB118" w14:textId="77777777" w:rsidR="00F12A58" w:rsidRDefault="00F12A58" w:rsidP="00E80A43"/>
    <w:p w14:paraId="3035E7FF" w14:textId="77777777" w:rsidR="00F12A58" w:rsidRDefault="00F12A58" w:rsidP="00E80A43"/>
    <w:p w14:paraId="101A26CC" w14:textId="77777777" w:rsidR="00F12A58" w:rsidRDefault="00F12A58" w:rsidP="00E80A43"/>
    <w:p w14:paraId="339DC86E" w14:textId="77777777" w:rsidR="00F12A58" w:rsidRDefault="00F12A58" w:rsidP="00E80A43"/>
    <w:p w14:paraId="0B65CE5D" w14:textId="77777777" w:rsidR="00F12A58" w:rsidRDefault="00F12A58" w:rsidP="00E80A43"/>
    <w:p w14:paraId="360EF01B" w14:textId="77777777" w:rsidR="00F12A58" w:rsidRDefault="00F12A58" w:rsidP="00E80A43"/>
    <w:p w14:paraId="7C8D2353" w14:textId="77777777" w:rsidR="00F12A58" w:rsidRDefault="00F12A58" w:rsidP="00E80A43"/>
    <w:p w14:paraId="34D945E8" w14:textId="77777777" w:rsidR="00846500" w:rsidRPr="00846500" w:rsidRDefault="00846500" w:rsidP="00846500">
      <w:pPr>
        <w:rPr>
          <w:b/>
          <w:bCs/>
        </w:rPr>
      </w:pPr>
      <w:r w:rsidRPr="00846500">
        <w:rPr>
          <w:b/>
          <w:bCs/>
        </w:rPr>
        <w:lastRenderedPageBreak/>
        <w:t>Findings and Insights</w:t>
      </w:r>
    </w:p>
    <w:p w14:paraId="0E5B969F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Age Distribution</w:t>
      </w:r>
    </w:p>
    <w:p w14:paraId="6AAE1439" w14:textId="77777777" w:rsidR="00846500" w:rsidRPr="00846500" w:rsidRDefault="00846500" w:rsidP="00846500">
      <w:pPr>
        <w:numPr>
          <w:ilvl w:val="1"/>
          <w:numId w:val="1"/>
        </w:numPr>
      </w:pPr>
      <w:proofErr w:type="gramStart"/>
      <w:r w:rsidRPr="00846500">
        <w:t>The majority of</w:t>
      </w:r>
      <w:proofErr w:type="gramEnd"/>
      <w:r w:rsidRPr="00846500">
        <w:t xml:space="preserve"> clients are between </w:t>
      </w:r>
      <w:r w:rsidRPr="00846500">
        <w:rPr>
          <w:b/>
          <w:bCs/>
        </w:rPr>
        <w:t>30 to 50 years</w:t>
      </w:r>
      <w:r w:rsidRPr="00846500">
        <w:t>, suggesting that this age group forms the core customer base.</w:t>
      </w:r>
    </w:p>
    <w:p w14:paraId="334AACF8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Younger and older age groups are underrepresented, potentially indicating untapped market segments.</w:t>
      </w:r>
    </w:p>
    <w:p w14:paraId="52DA6CE6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Job Type</w:t>
      </w:r>
    </w:p>
    <w:p w14:paraId="2090A659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Clients are predominantly employed in sectors like </w:t>
      </w:r>
      <w:r w:rsidRPr="00846500">
        <w:rPr>
          <w:b/>
          <w:bCs/>
        </w:rPr>
        <w:t>management</w:t>
      </w:r>
      <w:r w:rsidRPr="00846500">
        <w:t xml:space="preserve">, </w:t>
      </w:r>
      <w:r w:rsidRPr="00846500">
        <w:rPr>
          <w:b/>
          <w:bCs/>
        </w:rPr>
        <w:t>technicians</w:t>
      </w:r>
      <w:r w:rsidRPr="00846500">
        <w:t xml:space="preserve">, and </w:t>
      </w:r>
      <w:r w:rsidRPr="00846500">
        <w:rPr>
          <w:b/>
          <w:bCs/>
        </w:rPr>
        <w:t>blue-collar jobs</w:t>
      </w:r>
      <w:r w:rsidRPr="00846500">
        <w:t>.</w:t>
      </w:r>
    </w:p>
    <w:p w14:paraId="684A624C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Minimal representation in categories like </w:t>
      </w:r>
      <w:r w:rsidRPr="00846500">
        <w:rPr>
          <w:b/>
          <w:bCs/>
        </w:rPr>
        <w:t>unemployed</w:t>
      </w:r>
      <w:r w:rsidRPr="00846500">
        <w:t xml:space="preserve"> or </w:t>
      </w:r>
      <w:r w:rsidRPr="00846500">
        <w:rPr>
          <w:b/>
          <w:bCs/>
        </w:rPr>
        <w:t>students</w:t>
      </w:r>
      <w:r w:rsidRPr="00846500">
        <w:t xml:space="preserve"> suggests a focus on financially stable demographics.</w:t>
      </w:r>
    </w:p>
    <w:p w14:paraId="08A9DFC5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Marital Status</w:t>
      </w:r>
    </w:p>
    <w:p w14:paraId="77FA3A17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A significant proportion of clients are </w:t>
      </w:r>
      <w:r w:rsidRPr="00846500">
        <w:rPr>
          <w:b/>
          <w:bCs/>
        </w:rPr>
        <w:t>married</w:t>
      </w:r>
      <w:r w:rsidRPr="00846500">
        <w:t xml:space="preserve"> (~60%), followed by </w:t>
      </w:r>
      <w:r w:rsidRPr="00846500">
        <w:rPr>
          <w:b/>
          <w:bCs/>
        </w:rPr>
        <w:t>single</w:t>
      </w:r>
      <w:r w:rsidRPr="00846500">
        <w:t xml:space="preserve"> clients (~30%).</w:t>
      </w:r>
    </w:p>
    <w:p w14:paraId="55938708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Strategies can be developed to better engage single clients who may have different financial needs.</w:t>
      </w:r>
    </w:p>
    <w:p w14:paraId="17B00F5B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Education Level</w:t>
      </w:r>
    </w:p>
    <w:p w14:paraId="5849DA8B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Most clients have at least a </w:t>
      </w:r>
      <w:r w:rsidRPr="00846500">
        <w:rPr>
          <w:b/>
          <w:bCs/>
        </w:rPr>
        <w:t>secondary education</w:t>
      </w:r>
      <w:r w:rsidRPr="00846500">
        <w:t xml:space="preserve">, with a notable segment holding </w:t>
      </w:r>
      <w:r w:rsidRPr="00846500">
        <w:rPr>
          <w:b/>
          <w:bCs/>
        </w:rPr>
        <w:t>tertiary qualifications</w:t>
      </w:r>
      <w:r w:rsidRPr="00846500">
        <w:t>.</w:t>
      </w:r>
    </w:p>
    <w:p w14:paraId="2451E116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Higher education levels correlate with greater financial awareness and product adoption.</w:t>
      </w:r>
    </w:p>
    <w:p w14:paraId="7434D39E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Credit in Default</w:t>
      </w:r>
    </w:p>
    <w:p w14:paraId="29A7514E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Only a small proportion (~2%) of clients have </w:t>
      </w:r>
      <w:r w:rsidRPr="00846500">
        <w:rPr>
          <w:b/>
          <w:bCs/>
        </w:rPr>
        <w:t>credit in default</w:t>
      </w:r>
      <w:r w:rsidRPr="00846500">
        <w:t>, indicating a largely creditworthy client base.</w:t>
      </w:r>
    </w:p>
    <w:p w14:paraId="12E6EF63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Defaulting clients may require closer monitoring and tailored financial solutions.</w:t>
      </w:r>
    </w:p>
    <w:p w14:paraId="407A5878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Yearly Balance Distribution</w:t>
      </w:r>
    </w:p>
    <w:p w14:paraId="30A0D394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The average yearly balance distribution is highly skewed, with a majority having </w:t>
      </w:r>
      <w:r w:rsidRPr="00846500">
        <w:rPr>
          <w:b/>
          <w:bCs/>
        </w:rPr>
        <w:t>balances under €5,000</w:t>
      </w:r>
      <w:r w:rsidRPr="00846500">
        <w:t>.</w:t>
      </w:r>
    </w:p>
    <w:p w14:paraId="24E1A265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High-balance clients could be targeted for premium financial services.</w:t>
      </w:r>
    </w:p>
    <w:p w14:paraId="7F1FB70F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Housing Loans</w:t>
      </w:r>
    </w:p>
    <w:p w14:paraId="7EBEA764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Around </w:t>
      </w:r>
      <w:r w:rsidRPr="00846500">
        <w:rPr>
          <w:b/>
          <w:bCs/>
        </w:rPr>
        <w:t>55%</w:t>
      </w:r>
      <w:r w:rsidRPr="00846500">
        <w:t xml:space="preserve"> of clients have </w:t>
      </w:r>
      <w:r w:rsidRPr="00846500">
        <w:rPr>
          <w:b/>
          <w:bCs/>
        </w:rPr>
        <w:t>housing loans</w:t>
      </w:r>
      <w:r w:rsidRPr="00846500">
        <w:t>, signifying the importance of housing-related financial products.</w:t>
      </w:r>
    </w:p>
    <w:p w14:paraId="7328ABB9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Personal Loans</w:t>
      </w:r>
    </w:p>
    <w:p w14:paraId="7A50D6E8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lastRenderedPageBreak/>
        <w:t xml:space="preserve">A smaller portion (~20%) of clients have </w:t>
      </w:r>
      <w:r w:rsidRPr="00846500">
        <w:rPr>
          <w:b/>
          <w:bCs/>
        </w:rPr>
        <w:t>personal loans</w:t>
      </w:r>
      <w:r w:rsidRPr="00846500">
        <w:t>, indicating room for expansion in this product category.</w:t>
      </w:r>
    </w:p>
    <w:p w14:paraId="0A51887B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Communication Types</w:t>
      </w:r>
    </w:p>
    <w:p w14:paraId="74ED9672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The most common communication method is </w:t>
      </w:r>
      <w:r w:rsidRPr="00846500">
        <w:rPr>
          <w:b/>
          <w:bCs/>
        </w:rPr>
        <w:t>cellular calls</w:t>
      </w:r>
      <w:r w:rsidRPr="00846500">
        <w:t xml:space="preserve">, followed by </w:t>
      </w:r>
      <w:r w:rsidRPr="00846500">
        <w:rPr>
          <w:b/>
          <w:bCs/>
        </w:rPr>
        <w:t>telephone landlines</w:t>
      </w:r>
      <w:r w:rsidRPr="00846500">
        <w:t>.</w:t>
      </w:r>
    </w:p>
    <w:p w14:paraId="59B1835B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Email and other digital methods are underutilized, presenting an opportunity for digital engagement.</w:t>
      </w:r>
    </w:p>
    <w:p w14:paraId="0A09224A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Last Contact Day of the Month</w:t>
      </w:r>
    </w:p>
    <w:p w14:paraId="1B751766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Most client interactions occur in the </w:t>
      </w:r>
      <w:r w:rsidRPr="00846500">
        <w:rPr>
          <w:b/>
          <w:bCs/>
        </w:rPr>
        <w:t>middle of the month</w:t>
      </w:r>
      <w:r w:rsidRPr="00846500">
        <w:t>, suggesting a strategic scheduling pattern.</w:t>
      </w:r>
    </w:p>
    <w:p w14:paraId="760F6577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Last Contact Month</w:t>
      </w:r>
    </w:p>
    <w:p w14:paraId="47B47606" w14:textId="77777777" w:rsidR="00846500" w:rsidRPr="00846500" w:rsidRDefault="00846500" w:rsidP="00846500">
      <w:pPr>
        <w:numPr>
          <w:ilvl w:val="1"/>
          <w:numId w:val="1"/>
        </w:numPr>
      </w:pPr>
      <w:proofErr w:type="gramStart"/>
      <w:r w:rsidRPr="00846500">
        <w:t>The majority of</w:t>
      </w:r>
      <w:proofErr w:type="gramEnd"/>
      <w:r w:rsidRPr="00846500">
        <w:t xml:space="preserve"> contacts were made in </w:t>
      </w:r>
      <w:r w:rsidRPr="00846500">
        <w:rPr>
          <w:b/>
          <w:bCs/>
        </w:rPr>
        <w:t>May</w:t>
      </w:r>
      <w:r w:rsidRPr="00846500">
        <w:t xml:space="preserve">, followed by </w:t>
      </w:r>
      <w:r w:rsidRPr="00846500">
        <w:rPr>
          <w:b/>
          <w:bCs/>
        </w:rPr>
        <w:t>August</w:t>
      </w:r>
      <w:r w:rsidRPr="00846500">
        <w:t>.</w:t>
      </w:r>
    </w:p>
    <w:p w14:paraId="71209E51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Off-peak months could be </w:t>
      </w:r>
      <w:proofErr w:type="gramStart"/>
      <w:r w:rsidRPr="00846500">
        <w:t>leveraged</w:t>
      </w:r>
      <w:proofErr w:type="gramEnd"/>
      <w:r w:rsidRPr="00846500">
        <w:t xml:space="preserve"> for additional campaigns.</w:t>
      </w:r>
    </w:p>
    <w:p w14:paraId="0B6676F9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Duration of Last Contact</w:t>
      </w:r>
    </w:p>
    <w:p w14:paraId="74EEF782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Longer call durations generally correlate with better client engagement.</w:t>
      </w:r>
    </w:p>
    <w:p w14:paraId="0E9A3A41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Calls under </w:t>
      </w:r>
      <w:r w:rsidRPr="00846500">
        <w:rPr>
          <w:b/>
          <w:bCs/>
        </w:rPr>
        <w:t>3 minutes</w:t>
      </w:r>
      <w:r w:rsidRPr="00846500">
        <w:t xml:space="preserve"> often result in lower conversion rates.</w:t>
      </w:r>
    </w:p>
    <w:p w14:paraId="4DB98530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Campaign Contacts</w:t>
      </w:r>
    </w:p>
    <w:p w14:paraId="61375768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Most clients were contacted </w:t>
      </w:r>
      <w:r w:rsidRPr="00846500">
        <w:rPr>
          <w:b/>
          <w:bCs/>
        </w:rPr>
        <w:t>1-3 times</w:t>
      </w:r>
      <w:r w:rsidRPr="00846500">
        <w:t xml:space="preserve"> during the campaign.</w:t>
      </w:r>
    </w:p>
    <w:p w14:paraId="232109E0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High-frequency contacts (&gt;5) show diminishing returns, indicating a need for more targeted outreach.</w:t>
      </w:r>
    </w:p>
    <w:p w14:paraId="458488BA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Days Since Last Contact</w:t>
      </w:r>
    </w:p>
    <w:p w14:paraId="087E23D0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A significant number of clients had not been contacted for over </w:t>
      </w:r>
      <w:r w:rsidRPr="00846500">
        <w:rPr>
          <w:b/>
          <w:bCs/>
        </w:rPr>
        <w:t>100 days</w:t>
      </w:r>
      <w:r w:rsidRPr="00846500">
        <w:t>, highlighting the need for regular follow-ups.</w:t>
      </w:r>
    </w:p>
    <w:p w14:paraId="6A3086AD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Previous Contacts</w:t>
      </w:r>
    </w:p>
    <w:p w14:paraId="62AB89D1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>Clients with multiple previous contacts exhibit a higher likelihood of conversion.</w:t>
      </w:r>
    </w:p>
    <w:p w14:paraId="69D2F123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Outcomes of Previous Campaigns</w:t>
      </w:r>
    </w:p>
    <w:p w14:paraId="5C79C03A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The most frequent outcomes were </w:t>
      </w:r>
      <w:r w:rsidRPr="00846500">
        <w:rPr>
          <w:b/>
          <w:bCs/>
        </w:rPr>
        <w:t>non-subscription</w:t>
      </w:r>
      <w:r w:rsidRPr="00846500">
        <w:t xml:space="preserve"> and </w:t>
      </w:r>
      <w:r w:rsidRPr="00846500">
        <w:rPr>
          <w:b/>
          <w:bCs/>
        </w:rPr>
        <w:t>no response</w:t>
      </w:r>
      <w:r w:rsidRPr="00846500">
        <w:t>, pointing to potential areas for process improvement.</w:t>
      </w:r>
    </w:p>
    <w:p w14:paraId="45D05C38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Term Deposit Subscription</w:t>
      </w:r>
    </w:p>
    <w:p w14:paraId="656EA071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Around </w:t>
      </w:r>
      <w:r w:rsidRPr="00846500">
        <w:rPr>
          <w:b/>
          <w:bCs/>
        </w:rPr>
        <w:t>12%</w:t>
      </w:r>
      <w:r w:rsidRPr="00846500">
        <w:t xml:space="preserve"> of clients subscribed to term deposits, leaving significant room for growth in this product category.</w:t>
      </w:r>
    </w:p>
    <w:p w14:paraId="600DEF8F" w14:textId="77777777" w:rsidR="00846500" w:rsidRPr="00846500" w:rsidRDefault="00846500" w:rsidP="00846500">
      <w:pPr>
        <w:numPr>
          <w:ilvl w:val="0"/>
          <w:numId w:val="1"/>
        </w:numPr>
      </w:pPr>
      <w:r w:rsidRPr="00846500">
        <w:rPr>
          <w:b/>
          <w:bCs/>
        </w:rPr>
        <w:t>Correlations with Subscription</w:t>
      </w:r>
    </w:p>
    <w:p w14:paraId="11AC18FE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lastRenderedPageBreak/>
        <w:t xml:space="preserve">Positive correlations: </w:t>
      </w:r>
      <w:r w:rsidRPr="00846500">
        <w:rPr>
          <w:b/>
          <w:bCs/>
        </w:rPr>
        <w:t>Call duration</w:t>
      </w:r>
      <w:r w:rsidRPr="00846500">
        <w:t xml:space="preserve">, </w:t>
      </w:r>
      <w:r w:rsidRPr="00846500">
        <w:rPr>
          <w:b/>
          <w:bCs/>
        </w:rPr>
        <w:t>higher balance</w:t>
      </w:r>
      <w:r w:rsidRPr="00846500">
        <w:t xml:space="preserve">, and </w:t>
      </w:r>
      <w:r w:rsidRPr="00846500">
        <w:rPr>
          <w:b/>
          <w:bCs/>
        </w:rPr>
        <w:t>previous campaign success</w:t>
      </w:r>
      <w:r w:rsidRPr="00846500">
        <w:t>.</w:t>
      </w:r>
    </w:p>
    <w:p w14:paraId="12478C29" w14:textId="77777777" w:rsidR="00846500" w:rsidRPr="00846500" w:rsidRDefault="00846500" w:rsidP="00846500">
      <w:pPr>
        <w:numPr>
          <w:ilvl w:val="1"/>
          <w:numId w:val="1"/>
        </w:numPr>
      </w:pPr>
      <w:r w:rsidRPr="00846500">
        <w:t xml:space="preserve">Negative correlations: </w:t>
      </w:r>
      <w:r w:rsidRPr="00846500">
        <w:rPr>
          <w:b/>
          <w:bCs/>
        </w:rPr>
        <w:t>High frequency of contacts</w:t>
      </w:r>
      <w:r w:rsidRPr="00846500">
        <w:t xml:space="preserve"> and </w:t>
      </w:r>
      <w:r w:rsidRPr="00846500">
        <w:rPr>
          <w:b/>
          <w:bCs/>
        </w:rPr>
        <w:t>default status</w:t>
      </w:r>
      <w:r w:rsidRPr="00846500">
        <w:t>.</w:t>
      </w:r>
    </w:p>
    <w:p w14:paraId="610BC61F" w14:textId="77777777" w:rsidR="00846500" w:rsidRPr="00E80A43" w:rsidRDefault="00846500" w:rsidP="00E80A43"/>
    <w:sectPr w:rsidR="00846500" w:rsidRPr="00E8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94580"/>
    <w:multiLevelType w:val="multilevel"/>
    <w:tmpl w:val="FB7A3E4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8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3"/>
    <w:rsid w:val="000D2425"/>
    <w:rsid w:val="0045566D"/>
    <w:rsid w:val="00494075"/>
    <w:rsid w:val="00511D31"/>
    <w:rsid w:val="00606A7B"/>
    <w:rsid w:val="00691E34"/>
    <w:rsid w:val="00695E51"/>
    <w:rsid w:val="006C5CDE"/>
    <w:rsid w:val="006D5AE2"/>
    <w:rsid w:val="006E30EE"/>
    <w:rsid w:val="00737A10"/>
    <w:rsid w:val="00846500"/>
    <w:rsid w:val="008F0EB2"/>
    <w:rsid w:val="009F33FC"/>
    <w:rsid w:val="00E4111B"/>
    <w:rsid w:val="00E80A43"/>
    <w:rsid w:val="00F07E83"/>
    <w:rsid w:val="00F12A58"/>
    <w:rsid w:val="00F24569"/>
    <w:rsid w:val="00F64EE7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41D5"/>
  <w15:chartTrackingRefBased/>
  <w15:docId w15:val="{B3D8445B-2C15-4AB1-A46A-D0F79DEA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A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Paul</dc:creator>
  <cp:keywords/>
  <dc:description/>
  <cp:lastModifiedBy>Ramakant Paul</cp:lastModifiedBy>
  <cp:revision>7</cp:revision>
  <dcterms:created xsi:type="dcterms:W3CDTF">2025-01-01T03:04:00Z</dcterms:created>
  <dcterms:modified xsi:type="dcterms:W3CDTF">2025-01-03T18:32:00Z</dcterms:modified>
</cp:coreProperties>
</file>