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160" w:line="240" w:lineRule="auto"/>
        <w:jc w:val="center"/>
      </w:pPr>
      <w:r>
        <w:rPr>
          <w:rFonts w:ascii="Times New Roman" w:hAnsi="Times New Roman"/>
          <w:b/>
          <w:i w:val="0"/>
          <w:color w:val="17365D"/>
          <w:sz w:val="46"/>
        </w:rPr>
        <w:t>COMPARATIVE FINANCIAL ANALYSIS</w:t>
      </w:r>
    </w:p>
    <w:p>
      <w:pPr>
        <w:spacing w:before="0" w:after="160" w:line="240" w:lineRule="auto"/>
        <w:jc w:val="center"/>
      </w:pPr>
      <w:r>
        <w:rPr>
          <w:rFonts w:ascii="Times New Roman" w:hAnsi="Times New Roman"/>
          <w:b/>
          <w:i w:val="0"/>
          <w:color w:val="0F6B78"/>
          <w:sz w:val="38"/>
        </w:rPr>
        <w:t>OF LEADING INDIAN BANKS</w:t>
      </w:r>
    </w:p>
    <w:p>
      <w:pPr>
        <w:spacing w:before="0" w:after="320" w:line="240" w:lineRule="auto"/>
        <w:jc w:val="center"/>
      </w:pPr>
      <w:r>
        <w:rPr>
          <w:rFonts w:ascii="Times New Roman" w:hAnsi="Times New Roman"/>
          <w:b/>
          <w:i w:val="0"/>
          <w:color w:val="555555"/>
          <w:sz w:val="23"/>
        </w:rPr>
        <w:t>ICICI Bank  |  HDFC Bank  |  Axis Bank  |  State Bank of India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555555"/>
          <w:sz w:val="22"/>
        </w:rPr>
        <w:t>Financial years 2024-25 and 2025-26</w:t>
      </w:r>
    </w:p>
    <w:p>
      <w:pPr>
        <w:spacing w:before="0" w:after="280" w:line="240" w:lineRule="auto"/>
        <w:jc w:val="center"/>
      </w:pPr>
      <w:r>
        <w:rPr>
          <w:rFonts w:ascii="Times New Roman" w:hAnsi="Times New Roman"/>
          <w:b w:val="0"/>
          <w:i w:val="0"/>
          <w:color w:val="4472C4"/>
          <w:sz w:val="16"/>
        </w:rPr>
        <w:t>________________________________________________________________________________</w:t>
      </w:r>
    </w:p>
    <w:p>
      <w:pPr>
        <w:spacing w:before="40" w:after="100" w:line="240" w:lineRule="auto"/>
      </w:pPr>
      <w:r>
        <w:rPr>
          <w:rFonts w:ascii="Times New Roman" w:hAnsi="Times New Roman"/>
          <w:b/>
          <w:i w:val="0"/>
          <w:color w:val="17365D"/>
          <w:sz w:val="32"/>
        </w:rPr>
        <w:t>Executive Summary</w:t>
      </w:r>
    </w:p>
    <w:p>
      <w:pPr>
        <w:spacing w:before="0" w:after="140" w:line="269" w:lineRule="auto"/>
      </w:pPr>
      <w:r>
        <w:rPr>
          <w:rFonts w:ascii="Times New Roman" w:hAnsi="Times New Roman"/>
          <w:b w:val="0"/>
          <w:i w:val="0"/>
          <w:sz w:val="21"/>
        </w:rPr>
        <w:t>This project compares four major Indian banks using profitability, core interest income, asset quality and operating efficiency indicators. The analysis uses FY2024-25 and FY2025-26 standalone figures gathered from bank annual reports, audited results and investor disclosures. Microsoft Excel was used to organize the dataset, calculate year-on-year growth, rank the banks across seven metrics and visualize selected comparisons.</w:t>
      </w:r>
    </w:p>
    <w:p>
      <w:pPr>
        <w:spacing w:before="0" w:after="200" w:line="269" w:lineRule="auto"/>
      </w:pPr>
      <w:r>
        <w:rPr>
          <w:rFonts w:ascii="Times New Roman" w:hAnsi="Times New Roman"/>
          <w:b w:val="0"/>
          <w:i w:val="0"/>
          <w:sz w:val="21"/>
        </w:rPr>
        <w:t>The results show that SBI recorded the highest FY26 net profit and the strongest net-profit growth in the group, while ICICI Bank recorded the highest net interest income (NII) growth. HDFC Bank had the lowest FY26 gross NPA ratio and cost-to-income ratio. ICICI Bank ranked first under the project’s simple equal-weight scoring method, narrowly ahead of HDFC Bank. This score is a learning tool, not a definitive measure of overall bank quality.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c>
          <w:tcPr>
            <w:tcW w:type="dxa" w:w="4680"/>
            <w:shd w:fill="EAF2F8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F6B78"/>
                <w:sz w:val="16"/>
              </w:rPr>
              <w:t>HIGHEST PROFIT GROWTH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17365D"/>
                <w:sz w:val="24"/>
              </w:rPr>
              <w:t>SBI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4472C4"/>
                <w:sz w:val="28"/>
              </w:rPr>
              <w:t>12.88%</w:t>
            </w:r>
          </w:p>
        </w:tc>
        <w:tc>
          <w:tcPr>
            <w:tcW w:type="dxa" w:w="4680"/>
            <w:shd w:fill="F4F7FA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F6B78"/>
                <w:sz w:val="16"/>
              </w:rPr>
              <w:t>HIGHEST NII GROWTH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17365D"/>
                <w:sz w:val="24"/>
              </w:rPr>
              <w:t>ICICI Bank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4472C4"/>
                <w:sz w:val="28"/>
              </w:rPr>
              <w:t>8.51%</w:t>
            </w:r>
          </w:p>
        </w:tc>
      </w:tr>
      <w:tr>
        <w:tc>
          <w:tcPr>
            <w:tcW w:type="dxa" w:w="4680"/>
            <w:shd w:fill="F4F7FA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F6B78"/>
                <w:sz w:val="16"/>
              </w:rPr>
              <w:t>LOWEST GNPA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17365D"/>
                <w:sz w:val="24"/>
              </w:rPr>
              <w:t>HDFC Bank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4472C4"/>
                <w:sz w:val="28"/>
              </w:rPr>
              <w:t>1.15%</w:t>
            </w:r>
          </w:p>
        </w:tc>
        <w:tc>
          <w:tcPr>
            <w:tcW w:type="dxa" w:w="4680"/>
            <w:shd w:fill="EAF2F8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F6B78"/>
                <w:sz w:val="16"/>
              </w:rPr>
              <w:t>TOP PROJECT SCORE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17365D"/>
                <w:sz w:val="24"/>
              </w:rPr>
              <w:t>ICICI Bank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4472C4"/>
                <w:sz w:val="28"/>
              </w:rPr>
              <w:t>13 points</w:t>
            </w:r>
          </w:p>
        </w:tc>
      </w:tr>
    </w:tbl>
    <w:p>
      <w:pPr>
        <w:spacing w:before="240" w:after="0" w:line="252" w:lineRule="auto"/>
        <w:jc w:val="center"/>
      </w:pPr>
      <w:r>
        <w:rPr>
          <w:rFonts w:ascii="Times New Roman" w:hAnsi="Times New Roman"/>
          <w:b w:val="0"/>
          <w:i/>
          <w:color w:val="555555"/>
          <w:sz w:val="18"/>
        </w:rPr>
        <w:t>Prepared as a student finance project | Tool used: Microsoft Excel</w:t>
      </w:r>
    </w:p>
    <w:p>
      <w:r>
        <w:br w:type="page"/>
      </w:r>
    </w:p>
    <w:p>
      <w:pPr>
        <w:spacing w:before="40" w:after="100" w:line="240" w:lineRule="auto"/>
      </w:pPr>
      <w:r>
        <w:rPr>
          <w:rFonts w:ascii="Times New Roman" w:hAnsi="Times New Roman"/>
          <w:b/>
          <w:i w:val="0"/>
          <w:color w:val="17365D"/>
          <w:sz w:val="32"/>
        </w:rPr>
        <w:t>1. Objective, Scope and Methodology</w:t>
      </w:r>
    </w:p>
    <w:p>
      <w:pPr>
        <w:spacing w:before="0" w:after="100" w:line="252" w:lineRule="auto"/>
      </w:pPr>
      <w:r>
        <w:rPr>
          <w:rFonts w:ascii="Times New Roman" w:hAnsi="Times New Roman"/>
          <w:b w:val="0"/>
          <w:i w:val="0"/>
          <w:sz w:val="21"/>
        </w:rPr>
        <w:t>Objective. To compare the FY25-FY26 financial performance of ICICI Bank, HDFC Bank, Axis Bank and SBI using a small set of indicators that a beginner can calculate and explain in an internship interview.</w:t>
      </w:r>
    </w:p>
    <w:p>
      <w:pPr>
        <w:spacing w:before="0" w:after="100" w:line="252" w:lineRule="auto"/>
      </w:pPr>
      <w:r>
        <w:rPr>
          <w:rFonts w:ascii="Times New Roman" w:hAnsi="Times New Roman"/>
          <w:b w:val="0"/>
          <w:i w:val="0"/>
          <w:sz w:val="21"/>
        </w:rPr>
        <w:t>Scope. The project focuses on seven metrics across four dimensions: profitability, core interest income, asset quality and operating efficiency. Net profit and NII are compared over two years; ratios are recorded for both years where available. Monetary amounts are in ₹ crore, and ratio figures are percentages.</w:t>
      </w:r>
    </w:p>
    <w:p>
      <w:pPr>
        <w:spacing w:before="0" w:after="140" w:line="252" w:lineRule="auto"/>
      </w:pPr>
      <w:r>
        <w:rPr>
          <w:rFonts w:ascii="Times New Roman" w:hAnsi="Times New Roman"/>
          <w:b w:val="0"/>
          <w:i w:val="0"/>
          <w:sz w:val="21"/>
        </w:rPr>
        <w:t>Method. Raw figures were placed in a dedicated Excel sheet and linked to an Analysis sheet. Growth was calculated as (FY26 value − FY25 value) ÷ FY25 value × 100. The banks were ranked on seven metrics, assigning Rank 1 to the strongest result for each measure. The seven ranks were added to create an overall score, where a lower total is better.</w:t>
      </w:r>
    </w:p>
    <w:p>
      <w:pPr>
        <w:spacing w:before="20" w:after="60" w:line="240" w:lineRule="auto"/>
      </w:pPr>
      <w:r>
        <w:rPr>
          <w:rFonts w:ascii="Times New Roman" w:hAnsi="Times New Roman"/>
          <w:b/>
          <w:i w:val="0"/>
          <w:color w:val="0F6B78"/>
          <w:sz w:val="25"/>
        </w:rPr>
        <w:t>Metrics used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</w:trPr>
        <w:tc>
          <w:tcPr>
            <w:tcW w:type="dxa" w:w="1944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Metric</w:t>
            </w:r>
          </w:p>
        </w:tc>
        <w:tc>
          <w:tcPr>
            <w:tcW w:type="dxa" w:w="4392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Meaning</w:t>
            </w:r>
          </w:p>
        </w:tc>
        <w:tc>
          <w:tcPr>
            <w:tcW w:type="dxa" w:w="3384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How to interpret</w:t>
            </w:r>
          </w:p>
        </w:tc>
      </w:tr>
      <w:tr>
        <w:tc>
          <w:tcPr>
            <w:tcW w:type="dxa" w:w="194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222222"/>
                <w:sz w:val="16"/>
              </w:rPr>
              <w:t>Net Profit</w:t>
            </w:r>
          </w:p>
        </w:tc>
        <w:tc>
          <w:tcPr>
            <w:tcW w:type="dxa" w:w="43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6"/>
              </w:rPr>
              <w:t>Profit after expenses, provisions and tax; indicates total earnings.</w:t>
            </w:r>
          </w:p>
        </w:tc>
        <w:tc>
          <w:tcPr>
            <w:tcW w:type="dxa" w:w="33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6"/>
              </w:rPr>
              <w:t>Higher is generally better; absolute totals reflect bank size.</w:t>
            </w:r>
          </w:p>
        </w:tc>
      </w:tr>
      <w:tr>
        <w:tc>
          <w:tcPr>
            <w:tcW w:type="dxa" w:w="194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4F7FA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222222"/>
                <w:sz w:val="16"/>
              </w:rPr>
              <w:t>Net Interest Income (NII)</w:t>
            </w:r>
          </w:p>
        </w:tc>
        <w:tc>
          <w:tcPr>
            <w:tcW w:type="dxa" w:w="43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4F7FA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6"/>
              </w:rPr>
              <w:t>Interest earned minus interest paid.</w:t>
            </w:r>
          </w:p>
        </w:tc>
        <w:tc>
          <w:tcPr>
            <w:tcW w:type="dxa" w:w="33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4F7FA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6"/>
              </w:rPr>
              <w:t>Higher growth can indicate stronger core interest income.</w:t>
            </w:r>
          </w:p>
        </w:tc>
      </w:tr>
      <w:tr>
        <w:tc>
          <w:tcPr>
            <w:tcW w:type="dxa" w:w="194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222222"/>
                <w:sz w:val="16"/>
              </w:rPr>
              <w:t>Return on Assets (ROA)</w:t>
            </w:r>
          </w:p>
        </w:tc>
        <w:tc>
          <w:tcPr>
            <w:tcW w:type="dxa" w:w="43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6"/>
              </w:rPr>
              <w:t>Profit relative to average assets.</w:t>
            </w:r>
          </w:p>
        </w:tc>
        <w:tc>
          <w:tcPr>
            <w:tcW w:type="dxa" w:w="33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6"/>
              </w:rPr>
              <w:t>Higher generally indicates stronger asset profitability.</w:t>
            </w:r>
          </w:p>
        </w:tc>
      </w:tr>
      <w:tr>
        <w:tc>
          <w:tcPr>
            <w:tcW w:type="dxa" w:w="194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4F7FA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222222"/>
                <w:sz w:val="16"/>
              </w:rPr>
              <w:t>Return on Equity (ROE)</w:t>
            </w:r>
          </w:p>
        </w:tc>
        <w:tc>
          <w:tcPr>
            <w:tcW w:type="dxa" w:w="43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4F7FA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6"/>
              </w:rPr>
              <w:t>Profit relative to shareholders’ equity.</w:t>
            </w:r>
          </w:p>
        </w:tc>
        <w:tc>
          <w:tcPr>
            <w:tcW w:type="dxa" w:w="33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4F7FA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6"/>
              </w:rPr>
              <w:t>Higher generally means higher accounting return on equity.</w:t>
            </w:r>
          </w:p>
        </w:tc>
      </w:tr>
      <w:tr>
        <w:tc>
          <w:tcPr>
            <w:tcW w:type="dxa" w:w="194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222222"/>
                <w:sz w:val="16"/>
              </w:rPr>
              <w:t>Gross NPA (GNPA)</w:t>
            </w:r>
          </w:p>
        </w:tc>
        <w:tc>
          <w:tcPr>
            <w:tcW w:type="dxa" w:w="43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6"/>
              </w:rPr>
              <w:t>Gross non-performing loans as a share of gross advances.</w:t>
            </w:r>
          </w:p>
        </w:tc>
        <w:tc>
          <w:tcPr>
            <w:tcW w:type="dxa" w:w="33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6"/>
              </w:rPr>
              <w:t>Lower generally indicates better asset quality.</w:t>
            </w:r>
          </w:p>
        </w:tc>
      </w:tr>
      <w:tr>
        <w:tc>
          <w:tcPr>
            <w:tcW w:type="dxa" w:w="194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4F7FA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222222"/>
                <w:sz w:val="16"/>
              </w:rPr>
              <w:t>Net NPA (NNPA)</w:t>
            </w:r>
          </w:p>
        </w:tc>
        <w:tc>
          <w:tcPr>
            <w:tcW w:type="dxa" w:w="43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4F7FA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6"/>
              </w:rPr>
              <w:t>Net non-performing loans after relevant provisions and adjustments, relative to net advances.</w:t>
            </w:r>
          </w:p>
        </w:tc>
        <w:tc>
          <w:tcPr>
            <w:tcW w:type="dxa" w:w="33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4F7FA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6"/>
              </w:rPr>
              <w:t>Lower generally indicates lower residual problem-loan exposure.</w:t>
            </w:r>
          </w:p>
        </w:tc>
      </w:tr>
      <w:tr>
        <w:tc>
          <w:tcPr>
            <w:tcW w:type="dxa" w:w="194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222222"/>
                <w:sz w:val="16"/>
              </w:rPr>
              <w:t>Cost-to-Income</w:t>
            </w:r>
          </w:p>
        </w:tc>
        <w:tc>
          <w:tcPr>
            <w:tcW w:type="dxa" w:w="43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6"/>
              </w:rPr>
              <w:t>Operating costs relative to operating income, as reported by each bank.</w:t>
            </w:r>
          </w:p>
        </w:tc>
        <w:tc>
          <w:tcPr>
            <w:tcW w:type="dxa" w:w="33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6"/>
              </w:rPr>
              <w:t>Lower generally indicates better operating efficiency.</w:t>
            </w:r>
          </w:p>
        </w:tc>
      </w:tr>
    </w:tbl>
    <w:p>
      <w:pPr>
        <w:spacing w:before="20" w:after="60" w:line="240" w:lineRule="auto"/>
      </w:pPr>
      <w:r>
        <w:rPr>
          <w:rFonts w:ascii="Times New Roman" w:hAnsi="Times New Roman"/>
          <w:b/>
          <w:i w:val="0"/>
          <w:color w:val="0F6B78"/>
          <w:sz w:val="25"/>
        </w:rPr>
        <w:t>Data comparability note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sz w:val="19"/>
        </w:rPr>
        <w:t>The study uses bank-reported standalone figures. Ratio definitions, averaging conventions and presentation can differ between institutions, so cross-bank comparisons should be treated as indicative. The equal-weight ranking is deliberately simple and does not incorporate bank size adjustments, capital adequacy, liquidity, business mix, risk-adjusted returns or market valuation.</w:t>
      </w:r>
    </w:p>
    <w:p>
      <w:r>
        <w:br w:type="page"/>
      </w:r>
    </w:p>
    <w:p>
      <w:pPr>
        <w:spacing w:before="40" w:after="100" w:line="240" w:lineRule="auto"/>
      </w:pPr>
      <w:r>
        <w:rPr>
          <w:rFonts w:ascii="Times New Roman" w:hAnsi="Times New Roman"/>
          <w:b/>
          <w:i w:val="0"/>
          <w:color w:val="17365D"/>
          <w:sz w:val="32"/>
        </w:rPr>
        <w:t>2. Financial Performance and Growth</w:t>
      </w:r>
    </w:p>
    <w:p>
      <w:pPr>
        <w:spacing w:before="0" w:after="100" w:line="252" w:lineRule="auto"/>
      </w:pPr>
      <w:r>
        <w:rPr>
          <w:rFonts w:ascii="Times New Roman" w:hAnsi="Times New Roman"/>
          <w:b w:val="0"/>
          <w:i w:val="0"/>
          <w:sz w:val="19"/>
        </w:rPr>
        <w:t>Table 1 compares net profit and net interest income. Growth values are calculated from the FY25 and FY26 values used in the workbook. SBI FY25 NII is ₹1,66,340 crore, matching the FY26 annual report’s comparative figure.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2"/>
        <w:gridCol w:w="1422"/>
        <w:gridCol w:w="1422"/>
        <w:gridCol w:w="1422"/>
        <w:gridCol w:w="1422"/>
        <w:gridCol w:w="1422"/>
        <w:gridCol w:w="1422"/>
      </w:tblGrid>
      <w:tr>
        <w:trPr>
          <w:tblHeader w:val="true"/>
        </w:trPr>
        <w:tc>
          <w:tcPr>
            <w:tcW w:type="dxa" w:w="1411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Bank</w:t>
            </w:r>
          </w:p>
        </w:tc>
        <w:tc>
          <w:tcPr>
            <w:tcW w:type="dxa" w:w="1210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Net Profit</w:t>
              <w:br/>
              <w:t>FY25</w:t>
            </w:r>
          </w:p>
        </w:tc>
        <w:tc>
          <w:tcPr>
            <w:tcW w:type="dxa" w:w="1210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Net Profit</w:t>
              <w:br/>
              <w:t>FY26</w:t>
            </w:r>
          </w:p>
        </w:tc>
        <w:tc>
          <w:tcPr>
            <w:tcW w:type="dxa" w:w="936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NP Growth</w:t>
            </w:r>
          </w:p>
        </w:tc>
        <w:tc>
          <w:tcPr>
            <w:tcW w:type="dxa" w:w="1267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NII</w:t>
              <w:br/>
              <w:t>FY25</w:t>
            </w:r>
          </w:p>
        </w:tc>
        <w:tc>
          <w:tcPr>
            <w:tcW w:type="dxa" w:w="1267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NII</w:t>
              <w:br/>
              <w:t>FY26</w:t>
            </w:r>
          </w:p>
        </w:tc>
        <w:tc>
          <w:tcPr>
            <w:tcW w:type="dxa" w:w="936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NII Growth</w:t>
            </w:r>
          </w:p>
        </w:tc>
      </w:tr>
      <w:tr>
        <w:tc>
          <w:tcPr>
            <w:tcW w:type="dxa" w:w="141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222222"/>
                <w:sz w:val="15"/>
              </w:rPr>
              <w:t>ICICI Bank</w:t>
            </w:r>
          </w:p>
        </w:tc>
        <w:tc>
          <w:tcPr>
            <w:tcW w:type="dxa" w:w="12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5"/>
              </w:rPr>
              <w:t>47,227</w:t>
            </w:r>
          </w:p>
        </w:tc>
        <w:tc>
          <w:tcPr>
            <w:tcW w:type="dxa" w:w="12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5"/>
              </w:rPr>
              <w:t>50,147</w:t>
            </w:r>
          </w:p>
        </w:tc>
        <w:tc>
          <w:tcPr>
            <w:tcW w:type="dxa" w:w="9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5"/>
              </w:rPr>
              <w:t>6.18%</w:t>
            </w:r>
          </w:p>
        </w:tc>
        <w:tc>
          <w:tcPr>
            <w:tcW w:type="dxa" w:w="12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5"/>
              </w:rPr>
              <w:t>81,165</w:t>
            </w:r>
          </w:p>
        </w:tc>
        <w:tc>
          <w:tcPr>
            <w:tcW w:type="dxa" w:w="12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5"/>
              </w:rPr>
              <w:t>88,075</w:t>
            </w:r>
          </w:p>
        </w:tc>
        <w:tc>
          <w:tcPr>
            <w:tcW w:type="dxa" w:w="9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5"/>
              </w:rPr>
              <w:t>8.51%</w:t>
            </w:r>
          </w:p>
        </w:tc>
      </w:tr>
      <w:tr>
        <w:tc>
          <w:tcPr>
            <w:tcW w:type="dxa" w:w="141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4F7FA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222222"/>
                <w:sz w:val="15"/>
              </w:rPr>
              <w:t>HDFC Bank</w:t>
            </w:r>
          </w:p>
        </w:tc>
        <w:tc>
          <w:tcPr>
            <w:tcW w:type="dxa" w:w="12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4F7FA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5"/>
              </w:rPr>
              <w:t>67,347.4</w:t>
            </w:r>
          </w:p>
        </w:tc>
        <w:tc>
          <w:tcPr>
            <w:tcW w:type="dxa" w:w="12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4F7FA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5"/>
              </w:rPr>
              <w:t>74,671.3</w:t>
            </w:r>
          </w:p>
        </w:tc>
        <w:tc>
          <w:tcPr>
            <w:tcW w:type="dxa" w:w="9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4F7FA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5"/>
              </w:rPr>
              <w:t>10.87%</w:t>
            </w:r>
          </w:p>
        </w:tc>
        <w:tc>
          <w:tcPr>
            <w:tcW w:type="dxa" w:w="12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4F7FA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5"/>
              </w:rPr>
              <w:t>122,670.1</w:t>
            </w:r>
          </w:p>
        </w:tc>
        <w:tc>
          <w:tcPr>
            <w:tcW w:type="dxa" w:w="12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4F7FA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5"/>
              </w:rPr>
              <w:t>128,686.0</w:t>
            </w:r>
          </w:p>
        </w:tc>
        <w:tc>
          <w:tcPr>
            <w:tcW w:type="dxa" w:w="9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4F7FA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5"/>
              </w:rPr>
              <w:t>4.90%</w:t>
            </w:r>
          </w:p>
        </w:tc>
      </w:tr>
      <w:tr>
        <w:tc>
          <w:tcPr>
            <w:tcW w:type="dxa" w:w="141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222222"/>
                <w:sz w:val="15"/>
              </w:rPr>
              <w:t>Axis Bank</w:t>
            </w:r>
          </w:p>
        </w:tc>
        <w:tc>
          <w:tcPr>
            <w:tcW w:type="dxa" w:w="12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5"/>
              </w:rPr>
              <w:t>26,373</w:t>
            </w:r>
          </w:p>
        </w:tc>
        <w:tc>
          <w:tcPr>
            <w:tcW w:type="dxa" w:w="12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5"/>
              </w:rPr>
              <w:t>24,457</w:t>
            </w:r>
          </w:p>
        </w:tc>
        <w:tc>
          <w:tcPr>
            <w:tcW w:type="dxa" w:w="9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5"/>
              </w:rPr>
              <w:t>-7.27%</w:t>
            </w:r>
          </w:p>
        </w:tc>
        <w:tc>
          <w:tcPr>
            <w:tcW w:type="dxa" w:w="12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5"/>
              </w:rPr>
              <w:t>54,348</w:t>
            </w:r>
          </w:p>
        </w:tc>
        <w:tc>
          <w:tcPr>
            <w:tcW w:type="dxa" w:w="12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5"/>
              </w:rPr>
              <w:t>56,048</w:t>
            </w:r>
          </w:p>
        </w:tc>
        <w:tc>
          <w:tcPr>
            <w:tcW w:type="dxa" w:w="9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5"/>
              </w:rPr>
              <w:t>3.13%</w:t>
            </w:r>
          </w:p>
        </w:tc>
      </w:tr>
      <w:tr>
        <w:tc>
          <w:tcPr>
            <w:tcW w:type="dxa" w:w="141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4F7FA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222222"/>
                <w:sz w:val="15"/>
              </w:rPr>
              <w:t>SBI</w:t>
            </w:r>
          </w:p>
        </w:tc>
        <w:tc>
          <w:tcPr>
            <w:tcW w:type="dxa" w:w="12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4F7FA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5"/>
              </w:rPr>
              <w:t>70,901</w:t>
            </w:r>
          </w:p>
        </w:tc>
        <w:tc>
          <w:tcPr>
            <w:tcW w:type="dxa" w:w="12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4F7FA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5"/>
              </w:rPr>
              <w:t>80,032</w:t>
            </w:r>
          </w:p>
        </w:tc>
        <w:tc>
          <w:tcPr>
            <w:tcW w:type="dxa" w:w="9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4F7FA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5"/>
              </w:rPr>
              <w:t>12.88%</w:t>
            </w:r>
          </w:p>
        </w:tc>
        <w:tc>
          <w:tcPr>
            <w:tcW w:type="dxa" w:w="12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4F7FA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5"/>
              </w:rPr>
              <w:t>166,340</w:t>
            </w:r>
          </w:p>
        </w:tc>
        <w:tc>
          <w:tcPr>
            <w:tcW w:type="dxa" w:w="12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4F7FA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5"/>
              </w:rPr>
              <w:t>173,120</w:t>
            </w:r>
          </w:p>
        </w:tc>
        <w:tc>
          <w:tcPr>
            <w:tcW w:type="dxa" w:w="9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4F7FA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5"/>
              </w:rPr>
              <w:t>4.08%</w:t>
            </w:r>
          </w:p>
        </w:tc>
      </w:tr>
    </w:tbl>
    <w:p>
      <w:pPr>
        <w:spacing w:before="0" w:after="140" w:line="252" w:lineRule="auto"/>
      </w:pPr>
      <w:r>
        <w:rPr>
          <w:rFonts w:ascii="Times New Roman" w:hAnsi="Times New Roman"/>
          <w:b w:val="0"/>
          <w:i/>
          <w:color w:val="555555"/>
          <w:sz w:val="16"/>
        </w:rPr>
        <w:t>Note: Monetary values are ₹ crore. HDFC values retain one decimal place as reported in the project dataset; other displayed figures are rounded to whole crore.</w:t>
      </w:r>
    </w:p>
    <w:p>
      <w:pPr>
        <w:spacing w:before="20" w:after="60" w:line="240" w:lineRule="auto"/>
      </w:pPr>
      <w:r>
        <w:rPr>
          <w:rFonts w:ascii="Times New Roman" w:hAnsi="Times New Roman"/>
          <w:b/>
          <w:i w:val="0"/>
          <w:color w:val="0F6B78"/>
          <w:sz w:val="25"/>
        </w:rPr>
        <w:t>What the growth figures indicate</w:t>
      </w:r>
    </w:p>
    <w:p>
      <w:pPr>
        <w:pStyle w:val="ListBullet"/>
        <w:spacing w:before="0" w:after="40" w:line="240" w:lineRule="auto"/>
      </w:pPr>
      <w:r>
        <w:rPr>
          <w:rFonts w:ascii="Times New Roman" w:hAnsi="Times New Roman"/>
          <w:b w:val="0"/>
          <w:i w:val="0"/>
          <w:sz w:val="19"/>
        </w:rPr>
        <w:t>SBI had the highest FY26 net profit at ₹80,032 crore and the fastest profit growth at 12.88%.</w:t>
      </w:r>
    </w:p>
    <w:p>
      <w:pPr>
        <w:pStyle w:val="ListBullet"/>
        <w:spacing w:before="0" w:after="40" w:line="240" w:lineRule="auto"/>
      </w:pPr>
      <w:r>
        <w:rPr>
          <w:rFonts w:ascii="Times New Roman" w:hAnsi="Times New Roman"/>
          <w:b w:val="0"/>
          <w:i w:val="0"/>
          <w:sz w:val="19"/>
        </w:rPr>
        <w:t>ICICI Bank posted the strongest NII growth at 8.51%, increasing from ₹81,165 crore to ₹88,075 crore.</w:t>
      </w:r>
    </w:p>
    <w:p>
      <w:pPr>
        <w:pStyle w:val="ListBullet"/>
        <w:spacing w:before="0" w:after="40" w:line="240" w:lineRule="auto"/>
      </w:pPr>
      <w:r>
        <w:rPr>
          <w:rFonts w:ascii="Times New Roman" w:hAnsi="Times New Roman"/>
          <w:b w:val="0"/>
          <w:i w:val="0"/>
          <w:sz w:val="19"/>
        </w:rPr>
        <w:t>HDFC Bank’s net profit grew by 10.87%, while NII increased by 4.90%.</w:t>
      </w:r>
    </w:p>
    <w:p>
      <w:pPr>
        <w:pStyle w:val="ListBullet"/>
        <w:spacing w:before="0" w:after="40" w:line="240" w:lineRule="auto"/>
      </w:pPr>
      <w:r>
        <w:rPr>
          <w:rFonts w:ascii="Times New Roman" w:hAnsi="Times New Roman"/>
          <w:b w:val="0"/>
          <w:i w:val="0"/>
          <w:sz w:val="19"/>
        </w:rPr>
        <w:t>Axis Bank’s NII increased by 3.13%, but net profit declined by 7.27%. The dataset alone does not identify the cause; expenses, provisions, taxes and non-interest income would need further review.</w:t>
      </w:r>
    </w:p>
    <w:p>
      <w:pPr>
        <w:spacing w:before="20" w:after="60" w:line="240" w:lineRule="auto"/>
      </w:pPr>
      <w:r>
        <w:rPr>
          <w:rFonts w:ascii="Times New Roman" w:hAnsi="Times New Roman"/>
          <w:b/>
          <w:i w:val="0"/>
          <w:color w:val="0F6B78"/>
          <w:sz w:val="25"/>
        </w:rPr>
        <w:t>Growth formula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i w:val="0"/>
          <w:color w:val="0F6B78"/>
          <w:sz w:val="24"/>
        </w:rPr>
        <w:t>Growth (%) = (FY26 − FY25) ÷ FY25 × 100</w:t>
      </w:r>
    </w:p>
    <w:p>
      <w:r>
        <w:br w:type="page"/>
      </w:r>
    </w:p>
    <w:p>
      <w:pPr>
        <w:spacing w:before="40" w:after="100" w:line="240" w:lineRule="auto"/>
      </w:pPr>
      <w:r>
        <w:rPr>
          <w:rFonts w:ascii="Times New Roman" w:hAnsi="Times New Roman"/>
          <w:b/>
          <w:i w:val="0"/>
          <w:color w:val="17365D"/>
          <w:sz w:val="32"/>
        </w:rPr>
        <w:t>3. Ratio Comparison</w:t>
      </w:r>
    </w:p>
    <w:p>
      <w:pPr>
        <w:spacing w:before="0" w:after="120" w:line="252" w:lineRule="auto"/>
      </w:pPr>
      <w:r>
        <w:rPr>
          <w:rFonts w:ascii="Times New Roman" w:hAnsi="Times New Roman"/>
          <w:b w:val="0"/>
          <w:i w:val="0"/>
          <w:sz w:val="19"/>
        </w:rPr>
        <w:t>The table below shows FY25 → FY26 for return, asset-quality and operating-efficiency ratios. Values are percentages as reported in the project dataset.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  <w:gridCol w:w="1658"/>
        <w:gridCol w:w="1658"/>
      </w:tblGrid>
      <w:tr>
        <w:trPr>
          <w:tblHeader w:val="true"/>
        </w:trPr>
        <w:tc>
          <w:tcPr>
            <w:tcW w:type="dxa" w:w="1512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Bank</w:t>
            </w:r>
          </w:p>
        </w:tc>
        <w:tc>
          <w:tcPr>
            <w:tcW w:type="dxa" w:w="1411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ROA (%)</w:t>
            </w:r>
          </w:p>
        </w:tc>
        <w:tc>
          <w:tcPr>
            <w:tcW w:type="dxa" w:w="1411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ROE (%)</w:t>
            </w:r>
          </w:p>
        </w:tc>
        <w:tc>
          <w:tcPr>
            <w:tcW w:type="dxa" w:w="1411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GNPA (%)</w:t>
            </w:r>
          </w:p>
        </w:tc>
        <w:tc>
          <w:tcPr>
            <w:tcW w:type="dxa" w:w="1411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NNPA (%)</w:t>
            </w:r>
          </w:p>
        </w:tc>
        <w:tc>
          <w:tcPr>
            <w:tcW w:type="dxa" w:w="2016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Cost-to-Income (%)</w:t>
            </w:r>
          </w:p>
        </w:tc>
      </w:tr>
      <w:tr>
        <w:tc>
          <w:tcPr>
            <w:tcW w:type="dxa" w:w="15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222222"/>
                <w:sz w:val="16"/>
              </w:rPr>
              <w:t>ICICI Bank</w:t>
            </w:r>
          </w:p>
        </w:tc>
        <w:tc>
          <w:tcPr>
            <w:tcW w:type="dxa" w:w="141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6"/>
              </w:rPr>
              <w:t>2.40 → 2.32</w:t>
            </w:r>
          </w:p>
        </w:tc>
        <w:tc>
          <w:tcPr>
            <w:tcW w:type="dxa" w:w="141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6"/>
              </w:rPr>
              <w:t>17.95 → 15.97</w:t>
            </w:r>
          </w:p>
        </w:tc>
        <w:tc>
          <w:tcPr>
            <w:tcW w:type="dxa" w:w="141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6"/>
              </w:rPr>
              <w:t>1.67 → 1.40</w:t>
            </w:r>
          </w:p>
        </w:tc>
        <w:tc>
          <w:tcPr>
            <w:tcW w:type="dxa" w:w="141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6"/>
              </w:rPr>
              <w:t>0.39 → 0.33</w:t>
            </w:r>
          </w:p>
        </w:tc>
        <w:tc>
          <w:tcPr>
            <w:tcW w:type="dxa" w:w="20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6"/>
              </w:rPr>
              <w:t>38.64 → 39.75</w:t>
            </w:r>
          </w:p>
        </w:tc>
      </w:tr>
      <w:tr>
        <w:tc>
          <w:tcPr>
            <w:tcW w:type="dxa" w:w="15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4F7FA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222222"/>
                <w:sz w:val="16"/>
              </w:rPr>
              <w:t>HDFC Bank</w:t>
            </w:r>
          </w:p>
        </w:tc>
        <w:tc>
          <w:tcPr>
            <w:tcW w:type="dxa" w:w="141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4F7FA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6"/>
              </w:rPr>
              <w:t>1.91 → 1.94</w:t>
            </w:r>
          </w:p>
        </w:tc>
        <w:tc>
          <w:tcPr>
            <w:tcW w:type="dxa" w:w="141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4F7FA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6"/>
              </w:rPr>
              <w:t>14.56 → 14.30</w:t>
            </w:r>
          </w:p>
        </w:tc>
        <w:tc>
          <w:tcPr>
            <w:tcW w:type="dxa" w:w="141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4F7FA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6"/>
              </w:rPr>
              <w:t>1.33 → 1.15</w:t>
            </w:r>
          </w:p>
        </w:tc>
        <w:tc>
          <w:tcPr>
            <w:tcW w:type="dxa" w:w="141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4F7FA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6"/>
              </w:rPr>
              <w:t>0.43 → 0.38</w:t>
            </w:r>
          </w:p>
        </w:tc>
        <w:tc>
          <w:tcPr>
            <w:tcW w:type="dxa" w:w="20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4F7FA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6"/>
              </w:rPr>
              <w:t>40.50 → 38.00</w:t>
            </w:r>
          </w:p>
        </w:tc>
      </w:tr>
      <w:tr>
        <w:tc>
          <w:tcPr>
            <w:tcW w:type="dxa" w:w="15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222222"/>
                <w:sz w:val="16"/>
              </w:rPr>
              <w:t>Axis Bank</w:t>
            </w:r>
          </w:p>
        </w:tc>
        <w:tc>
          <w:tcPr>
            <w:tcW w:type="dxa" w:w="141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6"/>
              </w:rPr>
              <w:t>1.74 → 1.45</w:t>
            </w:r>
          </w:p>
        </w:tc>
        <w:tc>
          <w:tcPr>
            <w:tcW w:type="dxa" w:w="141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6"/>
              </w:rPr>
              <w:t>16.52 → 13.15</w:t>
            </w:r>
          </w:p>
        </w:tc>
        <w:tc>
          <w:tcPr>
            <w:tcW w:type="dxa" w:w="141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6"/>
              </w:rPr>
              <w:t>1.28 → 1.23</w:t>
            </w:r>
          </w:p>
        </w:tc>
        <w:tc>
          <w:tcPr>
            <w:tcW w:type="dxa" w:w="141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6"/>
              </w:rPr>
              <w:t>0.33 → 0.37</w:t>
            </w:r>
          </w:p>
        </w:tc>
        <w:tc>
          <w:tcPr>
            <w:tcW w:type="dxa" w:w="20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6"/>
              </w:rPr>
              <w:t>47.10 → 47.90</w:t>
            </w:r>
          </w:p>
        </w:tc>
      </w:tr>
      <w:tr>
        <w:tc>
          <w:tcPr>
            <w:tcW w:type="dxa" w:w="15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4F7FA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222222"/>
                <w:sz w:val="16"/>
              </w:rPr>
              <w:t>SBI</w:t>
            </w:r>
          </w:p>
        </w:tc>
        <w:tc>
          <w:tcPr>
            <w:tcW w:type="dxa" w:w="141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4F7FA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6"/>
              </w:rPr>
              <w:t>1.10 → 1.12</w:t>
            </w:r>
          </w:p>
        </w:tc>
        <w:tc>
          <w:tcPr>
            <w:tcW w:type="dxa" w:w="141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4F7FA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6"/>
              </w:rPr>
              <w:t>19.87 → 18.57</w:t>
            </w:r>
          </w:p>
        </w:tc>
        <w:tc>
          <w:tcPr>
            <w:tcW w:type="dxa" w:w="141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4F7FA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6"/>
              </w:rPr>
              <w:t>1.82 → 1.49</w:t>
            </w:r>
          </w:p>
        </w:tc>
        <w:tc>
          <w:tcPr>
            <w:tcW w:type="dxa" w:w="141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4F7FA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6"/>
              </w:rPr>
              <w:t>0.47 → 0.39</w:t>
            </w:r>
          </w:p>
        </w:tc>
        <w:tc>
          <w:tcPr>
            <w:tcW w:type="dxa" w:w="20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4F7FA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6"/>
              </w:rPr>
              <w:t>51.64 → 50.11</w:t>
            </w:r>
          </w:p>
        </w:tc>
      </w:tr>
    </w:tbl>
    <w:p>
      <w:pPr>
        <w:spacing w:before="0" w:after="140" w:line="252" w:lineRule="auto"/>
      </w:pPr>
      <w:r>
        <w:rPr>
          <w:rFonts w:ascii="Times New Roman" w:hAnsi="Times New Roman"/>
          <w:b w:val="0"/>
          <w:i/>
          <w:color w:val="555555"/>
          <w:sz w:val="16"/>
        </w:rPr>
        <w:t>Arrow shows FY25 → FY26. For GNPA, NNPA and Cost-to-Income, a downward movement is generally favourable; for ROA and ROE, an increase is generally favourable, although context matters.</w:t>
      </w:r>
    </w:p>
    <w:p>
      <w:pPr>
        <w:spacing w:before="20" w:after="60" w:line="240" w:lineRule="auto"/>
      </w:pPr>
      <w:r>
        <w:rPr>
          <w:rFonts w:ascii="Times New Roman" w:hAnsi="Times New Roman"/>
          <w:b/>
          <w:i w:val="0"/>
          <w:color w:val="0F6B78"/>
          <w:sz w:val="25"/>
        </w:rPr>
        <w:t>Interpretation</w:t>
      </w:r>
    </w:p>
    <w:p>
      <w:pPr>
        <w:pStyle w:val="ListBullet"/>
        <w:spacing w:before="0" w:after="40" w:line="240" w:lineRule="auto"/>
      </w:pPr>
      <w:r>
        <w:rPr>
          <w:rFonts w:ascii="Times New Roman" w:hAnsi="Times New Roman"/>
          <w:b w:val="0"/>
          <w:i w:val="0"/>
          <w:sz w:val="19"/>
        </w:rPr>
        <w:t>ICICI Bank recorded the highest FY26 ROA (2.32%) and the lowest NNPA ratio (0.33%) among the four banks. Its ROA declined from FY25 and its cost-to-income ratio increased, so its results are strong but not uniformly improving.</w:t>
      </w:r>
    </w:p>
    <w:p>
      <w:pPr>
        <w:pStyle w:val="ListBullet"/>
        <w:spacing w:before="0" w:after="40" w:line="240" w:lineRule="auto"/>
      </w:pPr>
      <w:r>
        <w:rPr>
          <w:rFonts w:ascii="Times New Roman" w:hAnsi="Times New Roman"/>
          <w:b w:val="0"/>
          <w:i w:val="0"/>
          <w:sz w:val="19"/>
        </w:rPr>
        <w:t>HDFC Bank had the lowest FY26 GNPA (1.15%) and cost-to-income ratio (38.00%). Its GNPA, NNPA and cost-to-income ratio all improved year on year in the dataset.</w:t>
      </w:r>
    </w:p>
    <w:p>
      <w:pPr>
        <w:pStyle w:val="ListBullet"/>
        <w:spacing w:before="0" w:after="40" w:line="240" w:lineRule="auto"/>
      </w:pPr>
      <w:r>
        <w:rPr>
          <w:rFonts w:ascii="Times New Roman" w:hAnsi="Times New Roman"/>
          <w:b w:val="0"/>
          <w:i w:val="0"/>
          <w:sz w:val="19"/>
        </w:rPr>
        <w:t>SBI recorded the highest FY26 ROE (18.57%), but also the lowest ROA (1.12%) and highest GNPA and NNPA ratios in this four-bank sample.</w:t>
      </w:r>
    </w:p>
    <w:p>
      <w:pPr>
        <w:pStyle w:val="ListBullet"/>
        <w:spacing w:before="0" w:after="40" w:line="240" w:lineRule="auto"/>
      </w:pPr>
      <w:r>
        <w:rPr>
          <w:rFonts w:ascii="Times New Roman" w:hAnsi="Times New Roman"/>
          <w:b w:val="0"/>
          <w:i w:val="0"/>
          <w:sz w:val="19"/>
        </w:rPr>
        <w:t>Axis Bank’s ROA and ROE declined while GNPA improved slightly and NNPA increased. These mixed signals show why several ratios should be read together rather than in isolation.</w:t>
      </w:r>
    </w:p>
    <w:p>
      <w:pPr>
        <w:spacing w:before="20" w:after="60" w:line="240" w:lineRule="auto"/>
      </w:pPr>
      <w:r>
        <w:rPr>
          <w:rFonts w:ascii="Times New Roman" w:hAnsi="Times New Roman"/>
          <w:b/>
          <w:i w:val="0"/>
          <w:color w:val="0F6B78"/>
          <w:sz w:val="25"/>
        </w:rPr>
        <w:t>Why the ratios complement profit growth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sz w:val="19"/>
        </w:rPr>
        <w:t>Net profit and NII are absolute amounts affected by the size and business mix of a bank. ROA and ROE scale profit against assets and equity; GNPA and NNPA give an indication of credit quality; and cost-to-income gives an operating-efficiency perspective. No single ratio is sufficient to judge a bank.</w:t>
      </w:r>
    </w:p>
    <w:p>
      <w:r>
        <w:br w:type="page"/>
      </w:r>
    </w:p>
    <w:p>
      <w:pPr>
        <w:spacing w:before="40" w:after="100" w:line="240" w:lineRule="auto"/>
      </w:pPr>
      <w:r>
        <w:rPr>
          <w:rFonts w:ascii="Times New Roman" w:hAnsi="Times New Roman"/>
          <w:b/>
          <w:i w:val="0"/>
          <w:color w:val="17365D"/>
          <w:sz w:val="32"/>
        </w:rPr>
        <w:t>4. Comparative Charts</w:t>
      </w:r>
    </w:p>
    <w:p>
      <w:pPr>
        <w:spacing w:before="0" w:after="80" w:line="252" w:lineRule="auto"/>
      </w:pPr>
      <w:r>
        <w:rPr>
          <w:rFonts w:ascii="Times New Roman" w:hAnsi="Times New Roman"/>
          <w:b w:val="0"/>
          <w:i w:val="0"/>
          <w:sz w:val="19"/>
        </w:rPr>
        <w:t>The charts summarize the key comparisons in the Excel workbook. Figures are based on the selected standalone FY25-FY26 dataset.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c>
          <w:tcPr>
            <w:tcW w:type="dxa" w:w="4680"/>
            <w:vAlign w:val="center"/>
            <w:tcMar>
              <w:top w:w="60" w:type="dxa"/>
              <w:start w:w="60" w:type="dxa"/>
              <w:bottom w:w="80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44981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_net_profi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44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  <w:tcMar>
              <w:top w:w="60" w:type="dxa"/>
              <w:start w:w="60" w:type="dxa"/>
              <w:bottom w:w="80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44981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_roa_ro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44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vAlign w:val="center"/>
            <w:tcMar>
              <w:top w:w="60" w:type="dxa"/>
              <w:start w:w="60" w:type="dxa"/>
              <w:bottom w:w="80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45089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_asset_quality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4508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  <w:tcMar>
              <w:top w:w="60" w:type="dxa"/>
              <w:start w:w="60" w:type="dxa"/>
              <w:bottom w:w="80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45622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_overall_scor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4562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100" w:line="252" w:lineRule="auto"/>
      </w:pPr>
      <w:r>
        <w:rPr>
          <w:rFonts w:ascii="Times New Roman" w:hAnsi="Times New Roman"/>
          <w:b w:val="0"/>
          <w:i/>
          <w:color w:val="555555"/>
          <w:sz w:val="17"/>
        </w:rPr>
        <w:t>Reading the charts: the net-profit chart compares year-end annual totals; the ROA/ROE chart uses a shared percentage axis, so ROA bars appear smaller; and the score chart is explicitly labelled “Lower = Better.”</w:t>
      </w:r>
    </w:p>
    <w:p>
      <w:pPr>
        <w:spacing w:before="20" w:after="60" w:line="240" w:lineRule="auto"/>
      </w:pPr>
      <w:r>
        <w:rPr>
          <w:rFonts w:ascii="Times New Roman" w:hAnsi="Times New Roman"/>
          <w:b/>
          <w:i w:val="0"/>
          <w:color w:val="0F6B78"/>
          <w:sz w:val="25"/>
        </w:rPr>
        <w:t>Overall ranking score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</w:trPr>
        <w:tc>
          <w:tcPr>
            <w:tcW w:type="dxa" w:w="1080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Rank</w:t>
            </w:r>
          </w:p>
        </w:tc>
        <w:tc>
          <w:tcPr>
            <w:tcW w:type="dxa" w:w="3600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Bank</w:t>
            </w:r>
          </w:p>
        </w:tc>
        <w:tc>
          <w:tcPr>
            <w:tcW w:type="dxa" w:w="1872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Overall Score</w:t>
            </w:r>
          </w:p>
        </w:tc>
      </w:tr>
      <w:tr>
        <w:tc>
          <w:tcPr>
            <w:tcW w:type="dxa" w:w="10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36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8"/>
              </w:rPr>
              <w:t>ICICI Bank</w:t>
            </w:r>
          </w:p>
        </w:tc>
        <w:tc>
          <w:tcPr>
            <w:tcW w:type="dxa" w:w="18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8"/>
              </w:rPr>
              <w:t>13</w:t>
            </w:r>
          </w:p>
        </w:tc>
      </w:tr>
      <w:tr>
        <w:tc>
          <w:tcPr>
            <w:tcW w:type="dxa" w:w="10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4F7FA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36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4F7FA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8"/>
              </w:rPr>
              <w:t>HDFC Bank</w:t>
            </w:r>
          </w:p>
        </w:tc>
        <w:tc>
          <w:tcPr>
            <w:tcW w:type="dxa" w:w="18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4F7FA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8"/>
              </w:rPr>
              <w:t>14</w:t>
            </w:r>
          </w:p>
        </w:tc>
      </w:tr>
      <w:tr>
        <w:tc>
          <w:tcPr>
            <w:tcW w:type="dxa" w:w="10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222222"/>
                <w:sz w:val="18"/>
              </w:rPr>
              <w:t>3</w:t>
            </w:r>
          </w:p>
        </w:tc>
        <w:tc>
          <w:tcPr>
            <w:tcW w:type="dxa" w:w="36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8"/>
              </w:rPr>
              <w:t>SBI</w:t>
            </w:r>
          </w:p>
        </w:tc>
        <w:tc>
          <w:tcPr>
            <w:tcW w:type="dxa" w:w="18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8"/>
              </w:rPr>
              <w:t>21</w:t>
            </w:r>
          </w:p>
        </w:tc>
      </w:tr>
      <w:tr>
        <w:tc>
          <w:tcPr>
            <w:tcW w:type="dxa" w:w="10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4F7FA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222222"/>
                <w:sz w:val="18"/>
              </w:rPr>
              <w:t>4</w:t>
            </w:r>
          </w:p>
        </w:tc>
        <w:tc>
          <w:tcPr>
            <w:tcW w:type="dxa" w:w="36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4F7FA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8"/>
              </w:rPr>
              <w:t>Axis Bank</w:t>
            </w:r>
          </w:p>
        </w:tc>
        <w:tc>
          <w:tcPr>
            <w:tcW w:type="dxa" w:w="18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4F7FA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  <w:insideH w:val="single" w:sz="4" w:color="D5DDE5"/>
              <w:insideV w:val="single" w:sz="4" w:color="D5DDE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18"/>
              </w:rPr>
              <w:t>22</w:t>
            </w:r>
          </w:p>
        </w:tc>
      </w:tr>
    </w:tbl>
    <w:p>
      <w:pPr>
        <w:spacing w:before="0" w:after="0" w:line="257" w:lineRule="auto"/>
      </w:pPr>
      <w:r>
        <w:rPr>
          <w:rFonts w:ascii="Times New Roman" w:hAnsi="Times New Roman"/>
          <w:b w:val="0"/>
          <w:i w:val="0"/>
          <w:sz w:val="18"/>
        </w:rPr>
        <w:t>The score is the sum of seven ordinal ranks: ROA, ROE, GNPA, NNPA, cost-to-income, net-profit growth and NII growth. Each metric has equal weight. The result should be interpreted as an exploratory classroom comparison, not a formal credit rating or investment recommendation.</w:t>
      </w:r>
    </w:p>
    <w:p>
      <w:r>
        <w:br w:type="page"/>
      </w:r>
    </w:p>
    <w:p>
      <w:pPr>
        <w:spacing w:before="40" w:after="100" w:line="240" w:lineRule="auto"/>
      </w:pPr>
      <w:r>
        <w:rPr>
          <w:rFonts w:ascii="Times New Roman" w:hAnsi="Times New Roman"/>
          <w:b/>
          <w:i w:val="0"/>
          <w:color w:val="17365D"/>
          <w:sz w:val="32"/>
        </w:rPr>
        <w:t>5. Key Findings and Conclusion</w:t>
      </w:r>
    </w:p>
    <w:p>
      <w:pPr>
        <w:spacing w:before="0" w:after="60" w:line="245" w:lineRule="auto"/>
      </w:pPr>
      <w:r>
        <w:rPr>
          <w:rFonts w:ascii="Times New Roman" w:hAnsi="Times New Roman"/>
          <w:b/>
          <w:i w:val="0"/>
          <w:color w:val="17365D"/>
          <w:sz w:val="19"/>
        </w:rPr>
        <w:t xml:space="preserve">1. SBI: profit scale and growth: </w:t>
      </w:r>
      <w:r>
        <w:rPr>
          <w:rFonts w:ascii="Times New Roman" w:hAnsi="Times New Roman"/>
          <w:b w:val="0"/>
          <w:i w:val="0"/>
          <w:sz w:val="19"/>
        </w:rPr>
        <w:t>Highest FY26 net profit (₹80,032 crore) and profit growth (12.88%); weaker FY26 ROA and comparatively higher NPA ratios temper the picture.</w:t>
      </w:r>
    </w:p>
    <w:p>
      <w:pPr>
        <w:spacing w:before="0" w:after="60" w:line="245" w:lineRule="auto"/>
      </w:pPr>
      <w:r>
        <w:rPr>
          <w:rFonts w:ascii="Times New Roman" w:hAnsi="Times New Roman"/>
          <w:b/>
          <w:i w:val="0"/>
          <w:color w:val="17365D"/>
          <w:sz w:val="19"/>
        </w:rPr>
        <w:t xml:space="preserve">2. ICICI: strong core-income growth: </w:t>
      </w:r>
      <w:r>
        <w:rPr>
          <w:rFonts w:ascii="Times New Roman" w:hAnsi="Times New Roman"/>
          <w:b w:val="0"/>
          <w:i w:val="0"/>
          <w:sz w:val="19"/>
        </w:rPr>
        <w:t>Highest NII growth (8.51%), highest ROA (2.32%) and lowest NNPA (0.33%); however, ROA eased and cost-to-income increased versus FY25.</w:t>
      </w:r>
    </w:p>
    <w:p>
      <w:pPr>
        <w:spacing w:before="0" w:after="60" w:line="245" w:lineRule="auto"/>
      </w:pPr>
      <w:r>
        <w:rPr>
          <w:rFonts w:ascii="Times New Roman" w:hAnsi="Times New Roman"/>
          <w:b/>
          <w:i w:val="0"/>
          <w:color w:val="17365D"/>
          <w:sz w:val="19"/>
        </w:rPr>
        <w:t xml:space="preserve">3. HDFC: asset quality and efficiency: </w:t>
      </w:r>
      <w:r>
        <w:rPr>
          <w:rFonts w:ascii="Times New Roman" w:hAnsi="Times New Roman"/>
          <w:b w:val="0"/>
          <w:i w:val="0"/>
          <w:sz w:val="19"/>
        </w:rPr>
        <w:t>Lowest FY26 GNPA (1.15%) and lowest cost-to-income (38.00%); it ranked second overall, only one point behind ICICI.</w:t>
      </w:r>
    </w:p>
    <w:p>
      <w:pPr>
        <w:spacing w:before="0" w:after="60" w:line="245" w:lineRule="auto"/>
      </w:pPr>
      <w:r>
        <w:rPr>
          <w:rFonts w:ascii="Times New Roman" w:hAnsi="Times New Roman"/>
          <w:b/>
          <w:i w:val="0"/>
          <w:color w:val="17365D"/>
          <w:sz w:val="19"/>
        </w:rPr>
        <w:t xml:space="preserve">4. Axis: mixed performance: </w:t>
      </w:r>
      <w:r>
        <w:rPr>
          <w:rFonts w:ascii="Times New Roman" w:hAnsi="Times New Roman"/>
          <w:b w:val="0"/>
          <w:i w:val="0"/>
          <w:sz w:val="19"/>
        </w:rPr>
        <w:t>NII grew 3.13% while net profit fell 7.27%; investigating provisions, operating costs, taxes and other income would be the next analytical step.</w:t>
      </w:r>
    </w:p>
    <w:p>
      <w:pPr>
        <w:spacing w:before="0" w:after="60" w:line="245" w:lineRule="auto"/>
      </w:pPr>
      <w:r>
        <w:rPr>
          <w:rFonts w:ascii="Times New Roman" w:hAnsi="Times New Roman"/>
          <w:b/>
          <w:i w:val="0"/>
          <w:color w:val="17365D"/>
          <w:sz w:val="19"/>
        </w:rPr>
        <w:t xml:space="preserve">5. Composite ranking favoured ICICI: </w:t>
      </w:r>
      <w:r>
        <w:rPr>
          <w:rFonts w:ascii="Times New Roman" w:hAnsi="Times New Roman"/>
          <w:b w:val="0"/>
          <w:i w:val="0"/>
          <w:sz w:val="19"/>
        </w:rPr>
        <w:t>ICICI (13 points) ranked ahead of HDFC (14), SBI (21) and Axis (22) under this project’s equal-weight rank-sum method.</w:t>
      </w:r>
    </w:p>
    <w:p>
      <w:pPr>
        <w:spacing w:before="20" w:after="60" w:line="240" w:lineRule="auto"/>
      </w:pPr>
      <w:r>
        <w:rPr>
          <w:rFonts w:ascii="Times New Roman" w:hAnsi="Times New Roman"/>
          <w:b/>
          <w:i w:val="0"/>
          <w:color w:val="0F6B78"/>
          <w:sz w:val="25"/>
        </w:rPr>
        <w:t>Limitations</w:t>
      </w:r>
    </w:p>
    <w:p>
      <w:pPr>
        <w:spacing w:before="0" w:after="80" w:line="250" w:lineRule="auto"/>
      </w:pPr>
      <w:r>
        <w:rPr>
          <w:rFonts w:ascii="Times New Roman" w:hAnsi="Times New Roman"/>
          <w:b w:val="0"/>
          <w:i w:val="0"/>
          <w:sz w:val="17"/>
        </w:rPr>
        <w:t>This is a small descriptive comparison of four banks over two financial years. It does not assess liquidity, capital adequacy, credit costs in detail, business mix, macroeconomic conditions, risk-adjusted returns or market valuation. Reported ratio definitions may differ. The rank-sum score uses equal weights and can hide differences in the importance of individual measures. Figures were transcribed into the workbook from the bank disclosures listed below; the workbook’s source column should retain the exact report and relevant page/section for every metric.</w:t>
      </w:r>
    </w:p>
    <w:p>
      <w:pPr>
        <w:spacing w:before="20" w:after="60" w:line="240" w:lineRule="auto"/>
      </w:pPr>
      <w:r>
        <w:rPr>
          <w:rFonts w:ascii="Times New Roman" w:hAnsi="Times New Roman"/>
          <w:b/>
          <w:i w:val="0"/>
          <w:color w:val="0F6B78"/>
          <w:sz w:val="25"/>
        </w:rPr>
        <w:t>Conclusion</w:t>
      </w:r>
    </w:p>
    <w:p>
      <w:pPr>
        <w:spacing w:before="0" w:after="80" w:line="254" w:lineRule="auto"/>
      </w:pPr>
      <w:r>
        <w:rPr>
          <w:rFonts w:ascii="Times New Roman" w:hAnsi="Times New Roman"/>
          <w:b w:val="0"/>
          <w:i w:val="0"/>
          <w:sz w:val="18"/>
        </w:rPr>
        <w:t>The comparison illustrates that bank performance has multiple dimensions. SBI was strongest on profit scale and profit growth, ICICI on NII growth and selected return/asset-quality measures, and HDFC on GNPA and cost-to-income. ICICI obtained the lowest total rank score under the project’s chosen method, with HDFC close behind. These findings support a structured peer comparison, while also showing why conclusions should be qualified and supported by consistent definitions and primary-source checks.</w:t>
      </w:r>
    </w:p>
    <w:p>
      <w:pPr>
        <w:spacing w:before="20" w:after="60" w:line="240" w:lineRule="auto"/>
      </w:pPr>
      <w:r>
        <w:rPr>
          <w:rFonts w:ascii="Times New Roman" w:hAnsi="Times New Roman"/>
          <w:b/>
          <w:i w:val="0"/>
          <w:color w:val="0F6B78"/>
          <w:sz w:val="25"/>
        </w:rPr>
        <w:t>Primary sources</w:t>
      </w:r>
    </w:p>
    <w:p>
      <w:pPr>
        <w:spacing w:before="0" w:after="20" w:line="240" w:lineRule="auto"/>
      </w:pPr>
      <w:r>
        <w:rPr>
          <w:rFonts w:ascii="Times New Roman" w:hAnsi="Times New Roman"/>
          <w:b/>
          <w:i w:val="0"/>
          <w:color w:val="0F6B78"/>
          <w:sz w:val="16"/>
        </w:rPr>
        <w:t xml:space="preserve">• </w:t>
      </w:r>
      <w:r>
        <w:rPr>
          <w:rFonts w:ascii="Times New Roman" w:hAnsi="Times New Roman"/>
          <w:b w:val="0"/>
          <w:i w:val="0"/>
          <w:sz w:val="16"/>
        </w:rPr>
        <w:t xml:space="preserve">ICICI Bank — FY2026 annual reports and March 2026 performance review — </w:t>
      </w:r>
      <w:hyperlink r:id="rId15">
        <w:r>
          <w:rPr>
            <w:color w:val="0563C1"/>
            <w:u w:val="single"/>
            <w:rFonts w:ascii="Times New Roman" w:hAnsi="Times New Roman"/>
            <w:sz w:val="18"/>
          </w:rPr>
          <w:t>Official report / results</w:t>
        </w:r>
      </w:hyperlink>
      <w:r>
        <w:rPr>
          <w:rFonts w:ascii="Times New Roman" w:hAnsi="Times New Roman"/>
          <w:b w:val="0"/>
          <w:i w:val="0"/>
          <w:sz w:val="16"/>
        </w:rPr>
        <w:t xml:space="preserve">; </w:t>
      </w:r>
      <w:hyperlink r:id="rId16">
        <w:r>
          <w:rPr>
            <w:color w:val="0563C1"/>
            <w:u w:val="single"/>
            <w:rFonts w:ascii="Times New Roman" w:hAnsi="Times New Roman"/>
            <w:sz w:val="18"/>
          </w:rPr>
          <w:t>related disclosure</w:t>
        </w:r>
      </w:hyperlink>
    </w:p>
    <w:p>
      <w:pPr>
        <w:spacing w:before="0" w:after="20" w:line="240" w:lineRule="auto"/>
      </w:pPr>
      <w:r>
        <w:rPr>
          <w:rFonts w:ascii="Times New Roman" w:hAnsi="Times New Roman"/>
          <w:b/>
          <w:i w:val="0"/>
          <w:color w:val="0F6B78"/>
          <w:sz w:val="16"/>
        </w:rPr>
        <w:t xml:space="preserve">• </w:t>
      </w:r>
      <w:r>
        <w:rPr>
          <w:rFonts w:ascii="Times New Roman" w:hAnsi="Times New Roman"/>
          <w:b w:val="0"/>
          <w:i w:val="0"/>
          <w:sz w:val="16"/>
        </w:rPr>
        <w:t xml:space="preserve">HDFC Bank — FY2026 annual reports and financial results — </w:t>
      </w:r>
      <w:hyperlink r:id="rId17">
        <w:r>
          <w:rPr>
            <w:color w:val="0563C1"/>
            <w:u w:val="single"/>
            <w:rFonts w:ascii="Times New Roman" w:hAnsi="Times New Roman"/>
            <w:sz w:val="18"/>
          </w:rPr>
          <w:t>Official report / results</w:t>
        </w:r>
      </w:hyperlink>
      <w:r>
        <w:rPr>
          <w:rFonts w:ascii="Times New Roman" w:hAnsi="Times New Roman"/>
          <w:b w:val="0"/>
          <w:i w:val="0"/>
          <w:sz w:val="16"/>
        </w:rPr>
        <w:t xml:space="preserve">; </w:t>
      </w:r>
      <w:hyperlink r:id="rId18">
        <w:r>
          <w:rPr>
            <w:color w:val="0563C1"/>
            <w:u w:val="single"/>
            <w:rFonts w:ascii="Times New Roman" w:hAnsi="Times New Roman"/>
            <w:sz w:val="18"/>
          </w:rPr>
          <w:t>related disclosure</w:t>
        </w:r>
      </w:hyperlink>
    </w:p>
    <w:p>
      <w:pPr>
        <w:spacing w:before="0" w:after="20" w:line="240" w:lineRule="auto"/>
      </w:pPr>
      <w:r>
        <w:rPr>
          <w:rFonts w:ascii="Times New Roman" w:hAnsi="Times New Roman"/>
          <w:b/>
          <w:i w:val="0"/>
          <w:color w:val="0F6B78"/>
          <w:sz w:val="16"/>
        </w:rPr>
        <w:t xml:space="preserve">• </w:t>
      </w:r>
      <w:r>
        <w:rPr>
          <w:rFonts w:ascii="Times New Roman" w:hAnsi="Times New Roman"/>
          <w:b w:val="0"/>
          <w:i w:val="0"/>
          <w:sz w:val="16"/>
        </w:rPr>
        <w:t xml:space="preserve">Axis Bank — Integrated Annual Report FY2025-26 — </w:t>
      </w:r>
      <w:hyperlink r:id="rId19">
        <w:r>
          <w:rPr>
            <w:color w:val="0563C1"/>
            <w:u w:val="single"/>
            <w:rFonts w:ascii="Times New Roman" w:hAnsi="Times New Roman"/>
            <w:sz w:val="18"/>
          </w:rPr>
          <w:t>Official report / results</w:t>
        </w:r>
      </w:hyperlink>
    </w:p>
    <w:p>
      <w:pPr>
        <w:spacing w:before="0" w:after="20" w:line="240" w:lineRule="auto"/>
      </w:pPr>
      <w:r>
        <w:rPr>
          <w:rFonts w:ascii="Times New Roman" w:hAnsi="Times New Roman"/>
          <w:b/>
          <w:i w:val="0"/>
          <w:color w:val="0F6B78"/>
          <w:sz w:val="16"/>
        </w:rPr>
        <w:t xml:space="preserve">• </w:t>
      </w:r>
      <w:r>
        <w:rPr>
          <w:rFonts w:ascii="Times New Roman" w:hAnsi="Times New Roman"/>
          <w:b w:val="0"/>
          <w:i w:val="0"/>
          <w:sz w:val="16"/>
        </w:rPr>
        <w:t xml:space="preserve">State Bank of India — Annual Report FY2025-26 and Q4FY26 analyst presentation — </w:t>
      </w:r>
      <w:hyperlink r:id="rId20">
        <w:r>
          <w:rPr>
            <w:color w:val="0563C1"/>
            <w:u w:val="single"/>
            <w:rFonts w:ascii="Times New Roman" w:hAnsi="Times New Roman"/>
            <w:sz w:val="18"/>
          </w:rPr>
          <w:t>Official report / results</w:t>
        </w:r>
      </w:hyperlink>
      <w:r>
        <w:rPr>
          <w:rFonts w:ascii="Times New Roman" w:hAnsi="Times New Roman"/>
          <w:b w:val="0"/>
          <w:i w:val="0"/>
          <w:sz w:val="16"/>
        </w:rPr>
        <w:t xml:space="preserve">; </w:t>
      </w:r>
      <w:hyperlink r:id="rId21">
        <w:r>
          <w:rPr>
            <w:color w:val="0563C1"/>
            <w:u w:val="single"/>
            <w:rFonts w:ascii="Times New Roman" w:hAnsi="Times New Roman"/>
            <w:sz w:val="18"/>
          </w:rPr>
          <w:t>related disclosure</w:t>
        </w:r>
      </w:hyperlink>
    </w:p>
    <w:p>
      <w:pPr>
        <w:spacing w:before="60" w:after="0" w:line="252" w:lineRule="auto"/>
        <w:jc w:val="center"/>
      </w:pPr>
      <w:r>
        <w:rPr>
          <w:rFonts w:ascii="Times New Roman" w:hAnsi="Times New Roman"/>
          <w:b w:val="0"/>
          <w:i/>
          <w:color w:val="555555"/>
          <w:sz w:val="16"/>
        </w:rPr>
        <w:t>Report prepared 10 October 2026. This project is for educational purposes and is not investment advice.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893" w:left="979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Times New Roman" w:hAnsi="Times New Roman"/>
        <w:b w:val="0"/>
        <w:i w:val="0"/>
        <w:color w:val="6B7785"/>
        <w:sz w:val="16"/>
      </w:rPr>
      <w:t>Comparative Financial Analysis of Leading Indian Banks</w:t>
    </w:r>
    <w:r>
      <w:rPr>
        <w:rFonts w:ascii="Times New Roman" w:hAnsi="Times New Roman"/>
        <w:color w:val="6B7785"/>
        <w:sz w:val="16"/>
      </w:rPr>
      <w:t xml:space="preserve">   |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Times New Roman" w:hAnsi="Times New Roman"/>
        <w:b/>
        <w:i w:val="0"/>
        <w:color w:val="6B7785"/>
        <w:sz w:val="16"/>
      </w:rPr>
      <w:t>FINANCIAL PERFORMANCE STUDY  |  FY25-FY26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www.icici.bank.in/about-us/annual/2026" TargetMode="External"/><Relationship Id="rId16" Type="http://schemas.openxmlformats.org/officeDocument/2006/relationships/hyperlink" Target="https://www.icici.bank.in/about-us/news-room/2026/performance-review-quarter-ended-march-31-2026" TargetMode="External"/><Relationship Id="rId17" Type="http://schemas.openxmlformats.org/officeDocument/2006/relationships/hyperlink" Target="https://www.hdfc.bank.in/about-us/investor-relations/annual-reports" TargetMode="External"/><Relationship Id="rId18" Type="http://schemas.openxmlformats.org/officeDocument/2006/relationships/hyperlink" Target="https://www.hdfc.bank.in/about-us/investor-relations/financial-results" TargetMode="External"/><Relationship Id="rId19" Type="http://schemas.openxmlformats.org/officeDocument/2006/relationships/hyperlink" Target="https://www.axis.bank.in/annual-reports/2025-2026/index.html" TargetMode="External"/><Relationship Id="rId20" Type="http://schemas.openxmlformats.org/officeDocument/2006/relationships/hyperlink" Target="https://sbi.bank.in/web/corporate-governance/annual-report" TargetMode="External"/><Relationship Id="rId21" Type="http://schemas.openxmlformats.org/officeDocument/2006/relationships/hyperlink" Target="https://sbi.bank.in/documents/17836/53469043/SBI%2BAnalyst%2BPresentation%2BQ4FY26.pdf/42112857-ac47-31a1-4d7d-4eb4f74d9598?t=177823022827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