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Vexoo Labs AI Engineer Assignment - Summary Report</w:t>
      </w:r>
    </w:p>
    <w:p>
      <w:r>
        <w:t>Author: Candidate</w:t>
      </w:r>
    </w:p>
    <w:p>
      <w:pPr>
        <w:pStyle w:val="Heading1"/>
      </w:pPr>
      <w:r>
        <w:t>1. Document Ingestion &amp; Pyramid Approach (Part 1)</w:t>
      </w:r>
    </w:p>
    <w:p>
      <w:r>
        <w:t>To address failing RAG strategies detailed in the research paper such as chunk isolation and context loss, the ingestion script implements an "Agentic Knowledge Distillation" strategy employing a hierarchical structure:</w:t>
      </w:r>
    </w:p>
    <w:p>
      <w:pPr>
        <w:pStyle w:val="ListBullet"/>
      </w:pPr>
      <w:r>
        <w:t>Approach: Simulated a 2-page sliding window approach with configurable character limits to traverse a document, overlapping content context to avoid cut-off semantics.</w:t>
      </w:r>
    </w:p>
    <w:p>
      <w:pPr>
        <w:pStyle w:val="ListBullet"/>
      </w:pPr>
      <w:r>
        <w:t>Pyramid Structure: For each sliding window, we generated four distinct layers: Raw Text, Chunk Summary, Category/Theme Label, and Distilled Knowledge.</w:t>
      </w:r>
    </w:p>
    <w:p>
      <w:pPr>
        <w:pStyle w:val="ListBullet"/>
      </w:pPr>
      <w:r>
        <w:t>Retrieval Engine: Employed sentence-transformers for multi-layered retrieval. At inference time, the query embeds and computes cosine similarity against all levels of the pyramid simultaneously.</w:t>
      </w:r>
    </w:p>
    <w:p>
      <w:pPr>
        <w:pStyle w:val="Heading1"/>
      </w:pPr>
      <w:r>
        <w:t>2. GSM8K Training Setup (Part 2)</w:t>
      </w:r>
    </w:p>
    <w:p>
      <w:r>
        <w:t>The finetuning pipeline sets up LLaMA 3.2 1B to learn mathematical reasoning step-by-step using a LoRA PEFT architecture:</w:t>
      </w:r>
    </w:p>
    <w:p>
      <w:pPr>
        <w:pStyle w:val="ListBullet"/>
      </w:pPr>
      <w:r>
        <w:t>Dataset Prep: Sourced openai/gsm8k via the Hugging Face datasets library. Specific isolation of 3,000 samples for training and 1,000 for evaluation.</w:t>
      </w:r>
    </w:p>
    <w:p>
      <w:pPr>
        <w:pStyle w:val="ListBullet"/>
      </w:pPr>
      <w:r>
        <w:t>LoRA Configuration: Injected Low-Rank Adapters (r=16, alpha=32, dropout=0.05) directly into the attention mechanism. Mitigates catastrophic forgetting and significantly decreases VRAM constraints.</w:t>
      </w:r>
    </w:p>
    <w:p>
      <w:pPr>
        <w:pStyle w:val="ListBullet"/>
      </w:pPr>
      <w:r>
        <w:t>Training Strategy: Utilized Hugging Face trl SFTTrainer for autoregressive causal language modeling with standard Q/A formatting.</w:t>
      </w:r>
    </w:p>
    <w:p>
      <w:pPr>
        <w:pStyle w:val="ListBullet"/>
      </w:pPr>
      <w:r>
        <w:t>Evaluation Framework: Developed exact match abstraction parsing out generated numeric response using the #### delimiter standard.</w:t>
      </w:r>
    </w:p>
    <w:p>
      <w:pPr>
        <w:pStyle w:val="Heading1"/>
      </w:pPr>
      <w:r>
        <w:t>Key Design Decisions &amp; Assumptions</w:t>
      </w:r>
    </w:p>
    <w:p>
      <w:pPr>
        <w:pStyle w:val="ListBullet"/>
      </w:pPr>
      <w:r>
        <w:t>Design Decision: Elected to "flatten" the Knowledge Pyramid nodes into a unified vector space instead of implementing complex graph traversal logic, prioritizing inference-time lookup velocity O(1).</w:t>
      </w:r>
    </w:p>
    <w:p>
      <w:pPr>
        <w:pStyle w:val="ListBullet"/>
      </w:pPr>
      <w:r>
        <w:t>Architecture Assumption: The training script utilizes meta-llama/Llama-3.2-1B directly, assuming an authenticated environment. The code relies on established abstractions reducing explicit boilerplate.</w:t>
      </w:r>
    </w:p>
    <w:p>
      <w:pPr>
        <w:pStyle w:val="Heading1"/>
      </w:pPr>
      <w:r>
        <w:t>Bonus: Reasoning-Aware Adapter Component</w:t>
      </w:r>
    </w:p>
    <w:p>
      <w:r>
        <w:t>Architecture of a "Plug-and-Play" Context Adapter:</w:t>
      </w:r>
    </w:p>
    <w:p>
      <w:r>
        <w:t>If deploying reasoning schemas for divergent tasks, structure a dynamic Mixture of Adapters (MoA) / Router Pattern:</w:t>
      </w:r>
    </w:p>
    <w:p>
      <w:r>
        <w:t>1. Dynamic Classifier: A lightweight orchestrator model sits as a gateway, classifying the intent of the incoming user request.</w:t>
      </w:r>
    </w:p>
    <w:p>
      <w:r>
        <w:t>2. Adapter Swapping: Depending on the categorized domain, the backend LLM dynamically activates and swaps the targeted LoRA weights onto the base model using .set_adapter().</w:t>
      </w:r>
    </w:p>
    <w:p>
      <w:r>
        <w:t>3. Triggered Execution: The base LLM routes the input across the specialized reasoning trajectory.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