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23 September 2026</w:t>
      </w:r>
    </w:p>
    <w:p>
      <w:pPr>
        <w:spacing w:before="0" w:after="120"/>
        <w:rPr>
          <w:sz w:val="22"/>
        </w:rPr>
      </w:pPr>
      <w:r>
        <w:rPr>
          <w:sz w:val="22"/>
        </w:rPr>
        <w:t xml:space="preserve">Thirteen confirmed defects. Each is automated: twelve assert the intended behaviour and are marked expected-fail so they turn red once fixed, and PS-PQ-05's test records the partial recovery it leaves behind.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PS-SUB-01</w:t>
            </w:r>
          </w:p>
        </w:tc>
        <w:tc>
          <w:tcPr>
            <w:tcW w:w="1872" w:type="dxa"/>
          </w:tcPr>
          <w:p>
            <w:pPr>
              <w:spacing w:before="40" w:after="40"/>
            </w:pPr>
            <w:r>
              <w:rPr>
                <w:sz w:val="20"/>
              </w:rPr>
              <w:t xml:space="preserve">Submit stays enabled when the date range is unusable</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4</w:t>
            </w:r>
          </w:p>
        </w:tc>
        <w:tc>
          <w:tcPr>
            <w:tcW w:w="1872" w:type="dxa"/>
          </w:tcPr>
          <w:p>
            <w:pPr>
              <w:spacing w:before="40" w:after="40"/>
            </w:pPr>
            <w:r>
              <w:rPr>
                <w:sz w:val="20"/>
              </w:rPr>
              <w:t xml:space="preserve">PS-SUB-07</w:t>
            </w:r>
          </w:p>
        </w:tc>
        <w:tc>
          <w:tcPr>
            <w:tcW w:w="1872" w:type="dxa"/>
          </w:tcPr>
          <w:p>
            <w:pPr>
              <w:spacing w:before="40" w:after="40"/>
            </w:pPr>
            <w:r>
              <w:rPr>
                <w:sz w:val="20"/>
              </w:rPr>
              <w:t xml:space="preserve">Every stats call carries the same client request id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7</w:t>
            </w:r>
          </w:p>
        </w:tc>
        <w:tc>
          <w:tcPr>
            <w:tcW w:w="1872" w:type="dxa"/>
          </w:tcPr>
          <w:p>
            <w:pPr>
              <w:spacing w:before="40" w:after="40"/>
            </w:pPr>
            <w:r>
              <w:rPr>
                <w:sz w:val="20"/>
              </w:rPr>
              <w:t xml:space="preserve">PS-PQ-15</w:t>
            </w:r>
          </w:p>
        </w:tc>
        <w:tc>
          <w:tcPr>
            <w:tcW w:w="1872" w:type="dxa"/>
          </w:tcPr>
          <w:p>
            <w:pPr>
              <w:spacing w:before="40" w:after="40"/>
            </w:pPr>
            <w:r>
              <w:rPr>
                <w:sz w:val="20"/>
              </w:rPr>
              <w:t xml:space="preserve">A query is affected by the queries executed before it</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8</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9</w:t>
            </w:r>
          </w:p>
        </w:tc>
        <w:tc>
          <w:tcPr>
            <w:tcW w:w="1872" w:type="dxa"/>
          </w:tcPr>
          <w:p>
            <w:pPr>
              <w:spacing w:before="40" w:after="40"/>
            </w:pPr>
            <w:r>
              <w:rPr>
                <w:sz w:val="20"/>
              </w:rPr>
              <w:t xml:space="preserve">PS-GR-06</w:t>
            </w:r>
          </w:p>
        </w:tc>
        <w:tc>
          <w:tcPr>
            <w:tcW w:w="1872" w:type="dxa"/>
          </w:tcPr>
          <w:p>
            <w:pPr>
              <w:spacing w:before="40" w:after="40"/>
            </w:pPr>
            <w:r>
              <w:rPr>
                <w:sz w:val="20"/>
              </w:rPr>
              <w:t xml:space="preserve">The statistics graph and the query table disagree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10</w:t>
            </w:r>
          </w:p>
        </w:tc>
        <w:tc>
          <w:tcPr>
            <w:tcW w:w="1872" w:type="dxa"/>
          </w:tcPr>
          <w:p>
            <w:pPr>
              <w:spacing w:before="40" w:after="40"/>
            </w:pPr>
            <w:r>
              <w:rPr>
                <w:sz w:val="20"/>
              </w:rPr>
              <w:t xml:space="preserve">PS-NEG-01</w:t>
            </w:r>
          </w:p>
        </w:tc>
        <w:tc>
          <w:tcPr>
            <w:tcW w:w="1872" w:type="dxa"/>
          </w:tcPr>
          <w:p>
            <w:pPr>
              <w:spacing w:before="40" w:after="40"/>
            </w:pPr>
            <w:r>
              <w:rPr>
                <w:sz w:val="20"/>
              </w:rPr>
              <w:t xml:space="preserve">A failed request leaves the page silent</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11</w:t>
            </w:r>
          </w:p>
        </w:tc>
        <w:tc>
          <w:tcPr>
            <w:tcW w:w="1872" w:type="dxa"/>
          </w:tcPr>
          <w:p>
            <w:pPr>
              <w:spacing w:before="40" w:after="40"/>
            </w:pPr>
            <w:r>
              <w:rPr>
                <w:sz w:val="20"/>
              </w:rPr>
              <w:t xml:space="preserve">PS-NEG-02</w:t>
            </w:r>
          </w:p>
        </w:tc>
        <w:tc>
          <w:tcPr>
            <w:tcW w:w="1872" w:type="dxa"/>
          </w:tcPr>
          <w:p>
            <w:pPr>
              <w:spacing w:before="40" w:after="40"/>
            </w:pPr>
            <w:r>
              <w:rPr>
                <w:sz w:val="20"/>
              </w:rPr>
              <w:t xml:space="preserve">The failure handler hides the real error</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12</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loses the sub-merchant and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13</w:t>
            </w:r>
          </w:p>
        </w:tc>
        <w:tc>
          <w:tcPr>
            <w:tcW w:w="1872" w:type="dxa"/>
          </w:tcPr>
          <w:p>
            <w:pPr>
              <w:spacing w:before="40" w:after="40"/>
            </w:pPr>
            <w:r>
              <w:rPr>
                <w:sz w:val="20"/>
              </w:rPr>
              <w:t xml:space="preserve">PS-NEG-12</w:t>
            </w:r>
          </w:p>
        </w:tc>
        <w:tc>
          <w:tcPr>
            <w:tcW w:w="1872" w:type="dxa"/>
          </w:tcPr>
          <w:p>
            <w:pPr>
              <w:spacing w:before="40" w:after="40"/>
            </w:pPr>
            <w:r>
              <w:rPr>
                <w:sz w:val="20"/>
              </w:rPr>
              <w:t xml:space="preserve">The default date range sends a malformed month from October to December</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Two further Payment Stats cases cannot be run at all and are recorded as blocked rather than defective: PS-COL-09 needs an India merchant that does not exist in QA, and PS-NEG-04 needs the Transactions grid's Date &amp; Time filter, which does not filter.</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PS-SUB-01 — Submit stays enabled when the date range is unusable</w:t>
      </w:r>
    </w:p>
    <w:p>
      <w:pPr>
        <w:spacing w:before="0" w:after="120"/>
        <w:rPr>
          <w:sz w:val="22"/>
        </w:rPr>
      </w:pPr>
      <w:r>
        <w:rPr>
          <w:sz w:val="22"/>
          <w:b/>
        </w:rPr>
        <w:t xml:space="preserve">Priority:</w:t>
      </w:r>
      <w:r>
        <w:rPr>
          <w:sz w:val="22"/>
        </w:rPr>
        <w:t xml:space="preserve"> Medium · </w:t>
      </w:r>
      <w:r>
        <w:rPr>
          <w:sz w:val="22"/>
          <w:b/>
        </w:rPr>
        <w:t xml:space="preserve">Gateways:</w:t>
      </w:r>
      <w:r>
        <w:rPr>
          <w:sz w:val="22"/>
        </w:rPr>
        <w:t xml:space="preserve"> all · </w:t>
      </w:r>
      <w:r>
        <w:rPr>
          <w:sz w:val="22"/>
          <w:b/>
        </w:rPr>
        <w:t xml:space="preserve">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Submit button is never disabled, whatever state the date range is in. Clearing the From Date entirely leaves it fully clickable, so the merchant can submit a range the page cannot use and is told nothing beforehand.</w:t>
      </w:r>
    </w:p>
    <w:p>
      <w:pPr>
        <w:spacing w:before="280" w:after="120"/>
        <w:rPr>
          <w:sz w:val="28"/>
          <w:b/>
        </w:rPr>
      </w:pPr>
      <w:r>
        <w:rPr>
          <w:sz w:val="28"/>
          <w:b/>
        </w:rPr>
        <w:t xml:space="preserve">Steps to reproduce</w:t>
      </w:r>
    </w:p>
    <w:p>
      <w:pPr>
        <w:spacing w:before="0" w:after="120"/>
        <w:rPr>
          <w:sz w:val="22"/>
        </w:rPr>
      </w:pPr>
      <w:r>
        <w:rPr>
          <w:sz w:val="22"/>
        </w:rPr>
        <w:t xml:space="preserve">1. Open </w:t>
      </w:r>
      <w:r>
        <w:rPr>
          <w:sz w:val="22"/>
          <w:b/>
        </w:rPr>
        <w:t xml:space="preserve">Payment Analytics → Payment Stats</w:t>
      </w:r>
      <w:r>
        <w:rPr>
          <w:sz w:val="22"/>
        </w:rPr>
        <w:t xml:space="preserve">. 2. Note that Submit is enabled on load. 3. Clear the </w:t>
      </w:r>
      <w:r>
        <w:rPr>
          <w:sz w:val="22"/>
          <w:b/>
        </w:rPr>
        <w:t xml:space="preserve">From Date</w:t>
      </w:r>
      <w:r>
        <w:rPr>
          <w:sz w:val="22"/>
        </w:rPr>
        <w:t xml:space="preserve"> field completely. 4. Look at Submit.</w:t>
      </w:r>
    </w:p>
    <w:p>
      <w:pPr>
        <w:spacing w:before="280" w:after="120"/>
        <w:rPr>
          <w:sz w:val="28"/>
          <w:b/>
        </w:rPr>
      </w:pPr>
      <w:r>
        <w:rPr>
          <w:sz w:val="28"/>
          <w:b/>
        </w:rPr>
        <w:t xml:space="preserve">Expected result</w:t>
      </w:r>
    </w:p>
    <w:p>
      <w:pPr>
        <w:spacing w:before="0" w:after="120"/>
        <w:rPr>
          <w:sz w:val="22"/>
        </w:rPr>
      </w:pPr>
      <w:r>
        <w:rPr>
          <w:sz w:val="22"/>
        </w:rPr>
        <w:t xml:space="preserve">Submit is greyed out while the range is unusable, so the merchant sees the problem before pressing it.</w:t>
      </w:r>
    </w:p>
    <w:p>
      <w:pPr>
        <w:spacing w:before="280" w:after="120"/>
        <w:rPr>
          <w:sz w:val="28"/>
          <w:b/>
        </w:rPr>
      </w:pPr>
      <w:r>
        <w:rPr>
          <w:sz w:val="28"/>
          <w:b/>
        </w:rPr>
        <w:t xml:space="preserve">Actual result</w:t>
      </w:r>
    </w:p>
    <w:p>
      <w:pPr>
        <w:spacing w:before="0" w:after="120"/>
        <w:rPr>
          <w:sz w:val="22"/>
        </w:rPr>
      </w:pPr>
      <w:r>
        <w:rPr>
          <w:sz w:val="22"/>
        </w:rPr>
        <w:t xml:space="preserve">Submit reports enabled in every state a merchant can actually reach — on load, and with From Date cleared. The </w:t>
      </w:r>
      <w:r>
        <w:rPr>
          <w:sz w:val="22"/>
          <w:rFonts w:ascii="Consolas" w:hAnsi="Consolas"/>
          <w:sz w:val="20"/>
        </w:rPr>
        <w:t xml:space="preserve">disabled</w:t>
      </w:r>
      <w:r>
        <w:rPr>
          <w:sz w:val="22"/>
        </w:rPr>
        <w:t xml:space="preserve"> attribute is absent throughout.</w:t>
      </w:r>
    </w:p>
    <w:p>
      <w:pPr>
        <w:spacing w:before="280" w:after="120"/>
        <w:rPr>
          <w:sz w:val="28"/>
          <w:b/>
        </w:rPr>
      </w:pPr>
      <w:r>
        <w:rPr>
          <w:sz w:val="28"/>
          <w:b/>
        </w:rPr>
        <w:t xml:space="preserve">Notes for the developer</w:t>
      </w:r>
    </w:p>
    <w:p>
      <w:pPr>
        <w:spacing w:before="0" w:after="120"/>
        <w:rPr>
          <w:sz w:val="22"/>
        </w:rPr>
      </w:pPr>
      <w:r>
        <w:rPr>
          <w:sz w:val="22"/>
        </w:rPr>
        <w:t xml:space="preserve">This is not missing logic. </w:t>
      </w:r>
      <w:r>
        <w:rPr>
          <w:sz w:val="22"/>
          <w:rFonts w:ascii="Consolas" w:hAnsi="Consolas"/>
          <w:sz w:val="20"/>
        </w:rPr>
        <w:t xml:space="preserve">isSubmitButtonDisabled</w:t>
      </w:r>
      <w:r>
        <w:rPr>
          <w:sz w:val="22"/>
        </w:rPr>
        <w:t xml:space="preserve"> is declared at </w:t>
      </w:r>
      <w:r>
        <w:rPr>
          <w:sz w:val="22"/>
          <w:rFonts w:ascii="Consolas" w:hAnsi="Consolas"/>
          <w:sz w:val="20"/>
        </w:rPr>
        <w:t xml:space="preserve">index.js:86</w:t>
      </w:r>
      <w:r>
        <w:rPr>
          <w:sz w:val="22"/>
        </w:rPr>
        <w:t xml:space="preserve"> and updated in five places. The line that applies it is commented out:</w:t>
      </w:r>
    </w:p>
    <w:p>
      <w:pPr>
        <w:spacing w:before="0" w:after="120"/>
        <w:rPr>
          <w:sz w:val="22"/>
        </w:rPr>
      </w:pPr>
      <w:r>
        <w:rPr>
          <w:sz w:val="22"/>
          <w:rFonts w:ascii="Consolas" w:hAnsi="Consolas"/>
          <w:sz w:val="20"/>
        </w:rPr>
        <w:t xml:space="preserve"/>
      </w:r>
      <w:r>
        <w:rPr>
          <w:sz w:val="22"/>
          <w:rFonts w:ascii="Consolas" w:hAnsi="Consolas"/>
          <w:sz w:val="20"/>
        </w:rPr>
        <w:t xml:space="preserve"> index.js:606     // disabled={isSubmitButtonDisabled} </w:t>
      </w:r>
      <w:r>
        <w:rPr>
          <w:sz w:val="22"/>
          <w:rFonts w:ascii="Consolas" w:hAnsi="Consolas"/>
          <w:sz w:val="20"/>
        </w:rPr>
        <w:t xml:space="preserve"/>
      </w:r>
    </w:p>
    <w:p>
      <w:pPr>
        <w:spacing w:before="0" w:after="120"/>
        <w:rPr>
          <w:sz w:val="22"/>
        </w:rPr>
      </w:pPr>
      <w:r>
        <w:rPr>
          <w:sz w:val="22"/>
        </w:rPr>
        <w:t xml:space="preserve">Uncommenting it is the whole fix.</w:t>
      </w:r>
    </w:p>
    <w:p>
      <w:pPr>
        <w:spacing w:before="0" w:after="120"/>
        <w:rPr>
          <w:sz w:val="22"/>
        </w:rPr>
      </w:pPr>
      <w:r>
        <w:rPr>
          <w:sz w:val="22"/>
        </w:rPr>
        <w:t xml:space="preserve">One state was deliberately excluded from this case: an inverted range, where To Date is before From Date. The To calendar greys out every day before the current From Date, so that state cannot be produced from the UI at all.</w:t>
      </w:r>
    </w:p>
    <w:p>
      <w:pPr>
        <w:spacing w:before="0" w:after="200"/>
        <w:rPr>
          <w:sz w:val="36"/>
          <w:b/>
        </w:rPr>
      </w:pPr>
      <w:r>
        <w:rPr>
          <w:sz w:val="36"/>
          <w:b/>
        </w:rPr>
        <w:t xml:space="preserve">3.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4. PS-SUB-07 — every stats call carries the same client request id</w:t>
      </w:r>
    </w:p>
    <w:p>
      <w:pPr>
        <w:spacing w:before="0" w:after="120"/>
        <w:rPr>
          <w:sz w:val="22"/>
        </w:rPr>
      </w:pPr>
      <w:r>
        <w:rPr>
          <w:sz w:val="22"/>
          <w:b/>
        </w:rPr>
        <w:t xml:space="preserve">Priority:</w:t>
      </w:r>
      <w:r>
        <w:rPr>
          <w:sz w:val="22"/>
        </w:rPr>
        <w:t xml:space="preserve"> Medium · </w:t>
      </w:r>
      <w:r>
        <w:rPr>
          <w:sz w:val="22"/>
          <w:b/>
        </w:rPr>
        <w:t xml:space="preserve">Gateways:</w:t>
      </w:r>
      <w:r>
        <w:rPr>
          <w:sz w:val="22"/>
        </w:rPr>
        <w:t xml:space="preserve"> all · </w:t>
      </w:r>
      <w:r>
        <w:rPr>
          <w:sz w:val="22"/>
          <w:b/>
        </w:rPr>
        <w:t xml:space="preserve">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Fonts w:ascii="Consolas" w:hAnsi="Consolas"/>
          <w:sz w:val="20"/>
        </w:rPr>
        <w:t xml:space="preserve">clientRequestId</w:t>
      </w:r>
      <w:r>
        <w:rPr>
          <w:sz w:val="22"/>
        </w:rPr>
        <w:t xml:space="preserve"> is meant to identify one call. Every Payment Stats request sends the same fixed value, so two calls cannot be told apart in logs or traced individually.</w:t>
      </w:r>
    </w:p>
    <w:p>
      <w:pPr>
        <w:spacing w:before="280" w:after="120"/>
        <w:rPr>
          <w:sz w:val="28"/>
          <w:b/>
        </w:rPr>
      </w:pPr>
      <w:r>
        <w:rPr>
          <w:sz w:val="28"/>
          <w:b/>
        </w:rPr>
        <w:t xml:space="preserve">Steps to reproduce</w:t>
      </w:r>
    </w:p>
    <w:p>
      <w:pPr>
        <w:spacing w:before="0" w:after="120"/>
        <w:rPr>
          <w:sz w:val="22"/>
        </w:rPr>
      </w:pPr>
      <w:r>
        <w:rPr>
          <w:sz w:val="22"/>
        </w:rPr>
        <w:t xml:space="preserve">1. Open DevTools, Network tab, filter on </w:t>
      </w:r>
      <w:r>
        <w:rPr>
          <w:sz w:val="22"/>
          <w:rFonts w:ascii="Consolas" w:hAnsi="Consolas"/>
          <w:sz w:val="20"/>
        </w:rPr>
        <w:t xml:space="preserve">payment_stats</w:t>
      </w:r>
      <w:r>
        <w:rPr>
          <w:sz w:val="22"/>
        </w:rPr>
        <w:t xml:space="preserve">. 2. Open </w:t>
      </w:r>
      <w:r>
        <w:rPr>
          <w:sz w:val="22"/>
          <w:b/>
        </w:rPr>
        <w:t xml:space="preserve">Payment Analytics → Payment Stats</w:t>
      </w:r>
      <w:r>
        <w:rPr>
          <w:sz w:val="22"/>
        </w:rPr>
        <w:t xml:space="preserve"> from the sidebar. 3. Read </w:t>
      </w:r>
      <w:r>
        <w:rPr>
          <w:sz w:val="22"/>
          <w:rFonts w:ascii="Consolas" w:hAnsi="Consolas"/>
          <w:sz w:val="20"/>
        </w:rPr>
        <w:t xml:space="preserve">clientRequestId</w:t>
      </w:r>
      <w:r>
        <w:rPr>
          <w:sz w:val="22"/>
        </w:rPr>
        <w:t xml:space="preserve"> on the request. 4. Change a date, press </w:t>
      </w:r>
      <w:r>
        <w:rPr>
          <w:sz w:val="22"/>
          <w:b/>
        </w:rPr>
        <w:t xml:space="preserve">Submit</w:t>
      </w:r>
      <w:r>
        <w:rPr>
          <w:sz w:val="22"/>
        </w:rPr>
        <w:t xml:space="preserve">, and read it again on the new request.</w:t>
      </w:r>
    </w:p>
    <w:p>
      <w:pPr>
        <w:spacing w:before="280" w:after="120"/>
        <w:rPr>
          <w:sz w:val="28"/>
          <w:b/>
        </w:rPr>
      </w:pPr>
      <w:r>
        <w:rPr>
          <w:sz w:val="28"/>
          <w:b/>
        </w:rPr>
        <w:t xml:space="preserve">Expected result</w:t>
      </w:r>
    </w:p>
    <w:p>
      <w:pPr>
        <w:spacing w:before="0" w:after="120"/>
        <w:rPr>
          <w:sz w:val="22"/>
        </w:rPr>
      </w:pPr>
      <w:r>
        <w:rPr>
          <w:sz w:val="22"/>
        </w:rPr>
        <w:t xml:space="preserve">Each call carries its own identifier.</w:t>
      </w:r>
    </w:p>
    <w:p>
      <w:pPr>
        <w:spacing w:before="280" w:after="120"/>
        <w:rPr>
          <w:sz w:val="28"/>
          <w:b/>
        </w:rPr>
      </w:pPr>
      <w:r>
        <w:rPr>
          <w:sz w:val="28"/>
          <w:b/>
        </w:rPr>
        <w:t xml:space="preserve">Actual result</w:t>
      </w:r>
    </w:p>
    <w:p>
      <w:pPr>
        <w:spacing w:before="0" w:after="120"/>
        <w:rPr>
          <w:sz w:val="22"/>
        </w:rPr>
      </w:pPr>
      <w:r>
        <w:rPr>
          <w:sz w:val="22"/>
        </w:rPr>
        <w:t xml:space="preserve">Every call carries </w:t>
      </w:r>
      <w:r>
        <w:rPr>
          <w:sz w:val="22"/>
          <w:rFonts w:ascii="Consolas" w:hAnsi="Consolas"/>
          <w:sz w:val="20"/>
        </w:rPr>
        <w:t xml:space="preserve">clientRequestId=1647602068707</w:t>
      </w:r>
      <w:r>
        <w:rPr>
          <w:sz w:val="22"/>
        </w:rPr>
        <w:t xml:space="preserve"> — on page load and after a date change, unchanged.</w:t>
      </w:r>
    </w:p>
    <w:p>
      <w:pPr>
        <w:spacing w:before="280" w:after="120"/>
        <w:rPr>
          <w:sz w:val="28"/>
          <w:b/>
        </w:rPr>
      </w:pPr>
      <w:r>
        <w:rPr>
          <w:sz w:val="28"/>
          <w:b/>
        </w:rPr>
        <w:t xml:space="preserve">Notes for the developer</w:t>
      </w:r>
    </w:p>
    <w:p>
      <w:pPr>
        <w:spacing w:before="0" w:after="120"/>
        <w:rPr>
          <w:sz w:val="22"/>
        </w:rPr>
      </w:pPr>
      <w:r>
        <w:rPr>
          <w:sz w:val="22"/>
          <w:rFonts w:ascii="Consolas" w:hAnsi="Consolas"/>
          <w:sz w:val="20"/>
        </w:rPr>
        <w:t xml:space="preserve">apis/payment.js:101</w:t>
      </w:r>
      <w:r>
        <w:rPr>
          <w:sz w:val="22"/>
        </w:rPr>
        <w:t xml:space="preserve"> hard-codes the value rather than generating one per request.</w:t>
      </w:r>
    </w:p>
    <w:p>
      <w:pPr>
        <w:spacing w:before="0" w:after="120"/>
        <w:rPr>
          <w:sz w:val="22"/>
        </w:rPr>
      </w:pPr>
      <w:r>
        <w:rPr>
          <w:sz w:val="22"/>
        </w:rPr>
        <w:t xml:space="preserve">This is one of the few checks that genuinely needs the network tab: the parameter has no surface on the page, so there is nothing on screen that could reveal it.</w:t>
      </w:r>
    </w:p>
    <w:p>
      <w:pPr>
        <w:spacing w:before="0" w:after="200"/>
        <w:rPr>
          <w:sz w:val="36"/>
          <w:b/>
        </w:rPr>
      </w:pPr>
      <w:r>
        <w:rPr>
          <w:sz w:val="36"/>
          <w:b/>
        </w:rPr>
        <w:t xml:space="preserve">5.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6.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7. PS-PQ-15 — a query is affected by the queries executed before it</w:t>
      </w:r>
    </w:p>
    <w:p>
      <w:pPr>
        <w:spacing w:before="0" w:after="120"/>
        <w:rPr>
          <w:sz w:val="22"/>
        </w:rPr>
      </w:pPr>
      <w:r>
        <w:rPr>
          <w:sz w:val="22"/>
          <w:b/>
        </w:rPr>
        <w:t xml:space="preserve">Priority:</w:t>
      </w:r>
      <w:r>
        <w:rPr>
          <w:sz w:val="22"/>
        </w:rPr>
        <w:t xml:space="preserve"> High · </w:t>
      </w:r>
      <w:r>
        <w:rPr>
          <w:sz w:val="22"/>
          <w:b/>
        </w:rPr>
        <w:t xml:space="preserve">Gateway:</w:t>
      </w:r>
      <w:r>
        <w:rPr>
          <w:sz w:val="22"/>
        </w:rPr>
        <w:t xml:space="preserve"> BillPay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The same Having clause returns different rows depending on what was executed before it. Run on a fresh panel it is correct; run after other clauses it returns a row that does not satisfy it.</w:t>
      </w:r>
    </w:p>
    <w:p>
      <w:pPr>
        <w:spacing w:before="280" w:after="120"/>
        <w:rPr>
          <w:sz w:val="28"/>
          <w:b/>
        </w:rPr>
      </w:pPr>
      <w:r>
        <w:rPr>
          <w:sz w:val="28"/>
          <w:b/>
        </w:rPr>
        <w:t xml:space="preserve">Steps to reproduce</w:t>
      </w:r>
    </w:p>
    <w:p>
      <w:pPr>
        <w:spacing w:before="0" w:after="120"/>
        <w:rPr>
          <w:sz w:val="22"/>
        </w:rPr>
      </w:pPr>
      <w:r>
        <w:rPr>
          <w:sz w:val="22"/>
        </w:rPr>
        <w:t xml:space="preserve">1. Open </w:t>
      </w:r>
      <w:r>
        <w:rPr>
          <w:sz w:val="22"/>
          <w:b/>
        </w:rPr>
        <w:t xml:space="preserve">Payment Stats</w:t>
      </w:r>
      <w:r>
        <w:rPr>
          <w:sz w:val="22"/>
        </w:rPr>
        <w:t xml:space="preserve"> as BillPay, set a 90-day range and press </w:t>
      </w:r>
      <w:r>
        <w:rPr>
          <w:sz w:val="22"/>
          <w:b/>
        </w:rPr>
        <w:t xml:space="preserve">Submit</w:t>
      </w:r>
      <w:r>
        <w:rPr>
          <w:sz w:val="22"/>
        </w:rPr>
        <w:t xml:space="preserve">. 2. Expand </w:t>
      </w:r>
      <w:r>
        <w:rPr>
          <w:sz w:val="22"/>
          <w:b/>
        </w:rPr>
        <w:t xml:space="preserve">Prepare Query</w:t>
      </w:r>
      <w:r>
        <w:rPr>
          <w:sz w:val="22"/>
        </w:rPr>
        <w:t xml:space="preserve"> and press </w:t>
      </w:r>
      <w:r>
        <w:rPr>
          <w:sz w:val="22"/>
          <w:b/>
        </w:rPr>
        <w:t xml:space="preserve">Execute</w:t>
      </w:r>
      <w:r>
        <w:rPr>
          <w:sz w:val="22"/>
        </w:rPr>
        <w:t xml:space="preserve"> once, unchanged. 3. Build </w:t>
      </w:r>
      <w:r>
        <w:rPr>
          <w:sz w:val="22"/>
          <w:rFonts w:ascii="Consolas" w:hAnsi="Consolas"/>
          <w:sz w:val="20"/>
        </w:rPr>
        <w:t xml:space="preserve">Displayed Fee Amount</w:t>
      </w:r>
      <w:r>
        <w:rPr>
          <w:sz w:val="22"/>
        </w:rPr>
        <w:t xml:space="preserve"> </w:t>
      </w:r>
      <w:r>
        <w:rPr>
          <w:sz w:val="22"/>
          <w:rFonts w:ascii="Consolas" w:hAnsi="Consolas"/>
          <w:sz w:val="20"/>
        </w:rPr>
        <w:t xml:space="preserve">is greater than</w:t>
      </w:r>
      <w:r>
        <w:rPr>
          <w:sz w:val="22"/>
        </w:rPr>
        <w:t xml:space="preserve"> </w:t>
      </w:r>
      <w:r>
        <w:rPr>
          <w:sz w:val="22"/>
          <w:rFonts w:ascii="Consolas" w:hAnsi="Consolas"/>
          <w:sz w:val="20"/>
        </w:rPr>
        <w:t xml:space="preserve">2.5</w:t>
      </w:r>
      <w:r>
        <w:rPr>
          <w:sz w:val="22"/>
        </w:rPr>
        <w:t xml:space="preserve"> and press </w:t>
      </w:r>
      <w:r>
        <w:rPr>
          <w:sz w:val="22"/>
          <w:b/>
        </w:rPr>
        <w:t xml:space="preserve">Execute</w:t>
      </w:r>
      <w:r>
        <w:rPr>
          <w:sz w:val="22"/>
        </w:rPr>
        <w:t xml:space="preserve">. Count the rows. 4. Without reloading, build </w:t>
      </w:r>
      <w:r>
        <w:rPr>
          <w:sz w:val="22"/>
          <w:rFonts w:ascii="Consolas" w:hAnsi="Consolas"/>
          <w:sz w:val="20"/>
        </w:rPr>
        <w:t xml:space="preserve">Funding Method</w:t>
      </w:r>
      <w:r>
        <w:rPr>
          <w:sz w:val="22"/>
        </w:rPr>
        <w:t xml:space="preserve"> </w:t>
      </w:r>
      <w:r>
        <w:rPr>
          <w:sz w:val="22"/>
          <w:rFonts w:ascii="Consolas" w:hAnsi="Consolas"/>
          <w:sz w:val="20"/>
        </w:rPr>
        <w:t xml:space="preserve">is equal to</w:t>
      </w:r>
      <w:r>
        <w:rPr>
          <w:sz w:val="22"/>
        </w:rPr>
        <w:t xml:space="preserve"> </w:t>
      </w:r>
      <w:r>
        <w:rPr>
          <w:sz w:val="22"/>
          <w:rFonts w:ascii="Consolas" w:hAnsi="Consolas"/>
          <w:sz w:val="20"/>
        </w:rPr>
        <w:t xml:space="preserve">ACH</w:t>
      </w:r>
      <w:r>
        <w:rPr>
          <w:sz w:val="22"/>
        </w:rPr>
        <w:t xml:space="preserve"> and Execute. 5. Without reloading, build </w:t>
      </w:r>
      <w:r>
        <w:rPr>
          <w:sz w:val="22"/>
          <w:rFonts w:ascii="Consolas" w:hAnsi="Consolas"/>
          <w:sz w:val="20"/>
        </w:rPr>
        <w:t xml:space="preserve">Funding Method</w:t>
      </w:r>
      <w:r>
        <w:rPr>
          <w:sz w:val="22"/>
        </w:rPr>
        <w:t xml:space="preserve"> </w:t>
      </w:r>
      <w:r>
        <w:rPr>
          <w:sz w:val="22"/>
          <w:rFonts w:ascii="Consolas" w:hAnsi="Consolas"/>
          <w:sz w:val="20"/>
        </w:rPr>
        <w:t xml:space="preserve">is not equal to</w:t>
      </w:r>
      <w:r>
        <w:rPr>
          <w:sz w:val="22"/>
        </w:rPr>
        <w:t xml:space="preserve"> </w:t>
      </w:r>
      <w:r>
        <w:rPr>
          <w:sz w:val="22"/>
          <w:rFonts w:ascii="Consolas" w:hAnsi="Consolas"/>
          <w:sz w:val="20"/>
        </w:rPr>
        <w:t xml:space="preserve">ACH</w:t>
      </w:r>
      <w:r>
        <w:rPr>
          <w:sz w:val="22"/>
        </w:rPr>
        <w:t xml:space="preserve"> and Execute. 6. Without reloading, build the step 3 clause again and Execute. Count the rows again.</w:t>
      </w:r>
    </w:p>
    <w:p>
      <w:pPr>
        <w:spacing w:before="280" w:after="120"/>
        <w:rPr>
          <w:sz w:val="28"/>
          <w:b/>
        </w:rPr>
      </w:pPr>
      <w:r>
        <w:rPr>
          <w:sz w:val="28"/>
          <w:b/>
        </w:rPr>
        <w:t xml:space="preserve">Expected result</w:t>
      </w:r>
    </w:p>
    <w:p>
      <w:pPr>
        <w:spacing w:before="0" w:after="120"/>
        <w:rPr>
          <w:sz w:val="22"/>
        </w:rPr>
      </w:pPr>
      <w:r>
        <w:rPr>
          <w:sz w:val="22"/>
        </w:rPr>
        <w:t xml:space="preserve">The same clause returns the same rows every time, and every row satisfies it.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displayed_fee_amount &gt; '2.5'</w:t>
            </w:r>
          </w:p>
        </w:tc>
        <w:tc>
          <w:tcPr>
            <w:tcW w:w="4680" w:type="dxa"/>
            <w:shd w:val="clear" w:fill="F2F2F2"/>
          </w:tcPr>
          <w:p>
            <w:pPr>
              <w:spacing w:before="40" w:after="40"/>
            </w:pPr>
            <w:r>
              <w:rPr>
                <w:sz w:val="20"/>
                <w:b/>
              </w:rPr>
              <w:t xml:space="preserve">Rows</w:t>
            </w:r>
          </w:p>
        </w:tc>
      </w:tr>
      <w:tr>
        <w:tc>
          <w:tcPr>
            <w:tcW w:w="4680" w:type="dxa"/>
          </w:tcPr>
          <w:p>
            <w:pPr>
              <w:spacing w:before="40" w:after="40"/>
            </w:pPr>
            <w:r>
              <w:rPr>
                <w:sz w:val="20"/>
              </w:rPr>
              <w:t xml:space="preserve">Run first, on a fresh panel</w:t>
            </w:r>
          </w:p>
        </w:tc>
        <w:tc>
          <w:tcPr>
            <w:tcW w:w="4680" w:type="dxa"/>
          </w:tcPr>
          <w:p>
            <w:pPr>
              <w:spacing w:before="40" w:after="40"/>
            </w:pPr>
            <w:r>
              <w:rPr>
                <w:sz w:val="20"/>
              </w:rPr>
              <w:t xml:space="preserve">6 — $2.50 correctly excluded</w:t>
            </w:r>
          </w:p>
        </w:tc>
      </w:tr>
      <w:tr>
        <w:tc>
          <w:tcPr>
            <w:tcW w:w="4680" w:type="dxa"/>
          </w:tcPr>
          <w:p>
            <w:pPr>
              <w:spacing w:before="40" w:after="40"/>
            </w:pPr>
            <w:r>
              <w:rPr>
                <w:sz w:val="20"/>
              </w:rPr>
              <w:t xml:space="preserve">Run again after the two clauses above</w:t>
            </w:r>
          </w:p>
        </w:tc>
        <w:tc>
          <w:tcPr>
            <w:tcW w:w="4680" w:type="dxa"/>
          </w:tcPr>
          <w:p>
            <w:pPr>
              <w:spacing w:before="40" w:after="40"/>
            </w:pPr>
            <w:r>
              <w:rPr>
                <w:sz w:val="20"/>
              </w:rPr>
              <w:t xml:space="preserve">7 — a $2.50 row appears</w:t>
            </w:r>
          </w:p>
        </w:tc>
      </w:tr>
    </w:tbl>
    <w:p>
      <w:pPr>
        <w:spacing w:after="120"/>
      </w:pPr>
    </w:p>
    <w:p>
      <w:pPr>
        <w:spacing w:before="0" w:after="120"/>
        <w:rPr>
          <w:sz w:val="22"/>
        </w:rPr>
      </w:pPr>
      <w:r>
        <w:rPr>
          <w:sz w:val="22"/>
        </w:rPr>
        <w:t xml:space="preserve">A </w:t>
      </w:r>
      <w:r>
        <w:rPr>
          <w:sz w:val="22"/>
          <w:rFonts w:ascii="Consolas" w:hAnsi="Consolas"/>
          <w:sz w:val="20"/>
        </w:rPr>
        <w:t xml:space="preserve">$2.50</w:t>
      </w:r>
      <w:r>
        <w:rPr>
          <w:sz w:val="22"/>
        </w:rPr>
        <w:t xml:space="preserve"> fee does not satisfy "greater than 2.5". The first answer is the correct one.</w:t>
      </w:r>
    </w:p>
    <w:p>
      <w:pPr>
        <w:spacing w:before="280" w:after="120"/>
        <w:rPr>
          <w:sz w:val="28"/>
          <w:b/>
        </w:rPr>
      </w:pPr>
      <w:r>
        <w:rPr>
          <w:sz w:val="28"/>
          <w:b/>
        </w:rPr>
        <w:t xml:space="preserve">What was ruled out</w:t>
      </w:r>
    </w:p>
    <w:p>
      <w:pPr>
        <w:spacing w:before="0" w:after="80"/>
        <w:ind w:left="360"/>
        <w:rPr>
          <w:sz w:val="22"/>
        </w:rPr>
      </w:pPr>
      <w:r>
        <w:rPr>
          <w:sz w:val="22"/>
        </w:rPr>
        <w:t xml:space="preserve">• </w:t>
      </w:r>
      <w:r>
        <w:rPr>
          <w:sz w:val="22"/>
          <w:b/>
        </w:rPr>
        <w:t xml:space="preserve">Not a stale read.</w:t>
      </w:r>
      <w:r>
        <w:rPr>
          <w:sz w:val="22"/>
        </w:rPr>
        <w:t xml:space="preserve"> The extra row survives after the page has fully settled.</w:t>
      </w:r>
    </w:p>
    <w:p>
      <w:pPr>
        <w:spacing w:before="0" w:after="80"/>
        <w:ind w:left="360"/>
        <w:rPr>
          <w:sz w:val="22"/>
        </w:rPr>
      </w:pPr>
      <w:r>
        <w:rPr>
          <w:sz w:val="22"/>
        </w:rPr>
        <w:t xml:space="preserve">• </w:t>
      </w:r>
      <w:r>
        <w:rPr>
          <w:sz w:val="22"/>
          <w:b/>
        </w:rPr>
        <w:t xml:space="preserve">Not regrouping.</w:t>
      </w:r>
      <w:r>
        <w:rPr>
          <w:sz w:val="22"/>
        </w:rPr>
        <w:t xml:space="preserve"> </w:t>
      </w:r>
      <w:r>
        <w:rPr>
          <w:sz w:val="22"/>
          <w:rFonts w:ascii="Consolas" w:hAnsi="Consolas"/>
          <w:sz w:val="20"/>
        </w:rPr>
        <w:t xml:space="preserve">select_fields</w:t>
      </w:r>
      <w:r>
        <w:rPr>
          <w:sz w:val="22"/>
        </w:rPr>
        <w:t xml:space="preserve"> and </w:t>
      </w:r>
      <w:r>
        <w:rPr>
          <w:sz w:val="22"/>
          <w:rFonts w:ascii="Consolas" w:hAnsi="Consolas"/>
          <w:sz w:val="20"/>
        </w:rPr>
        <w:t xml:space="preserve">groupby_fields</w:t>
      </w:r>
      <w:r>
        <w:rPr>
          <w:sz w:val="22"/>
        </w:rPr>
        <w:t xml:space="preserve"> were byte-identical across both executes, as was </w:t>
      </w:r>
      <w:r>
        <w:rPr>
          <w:sz w:val="22"/>
          <w:rFonts w:ascii="Consolas" w:hAnsi="Consolas"/>
          <w:sz w:val="20"/>
        </w:rPr>
        <w:t xml:space="preserve">having_fields</w:t>
      </w:r>
      <w:r>
        <w:rPr>
          <w:sz w:val="22"/>
        </w:rPr>
        <w:t xml:space="preserve">.</w:t>
      </w:r>
    </w:p>
    <w:p>
      <w:pPr>
        <w:spacing w:before="0" w:after="80"/>
        <w:ind w:left="360"/>
        <w:rPr>
          <w:sz w:val="22"/>
        </w:rPr>
      </w:pPr>
      <w:r>
        <w:rPr>
          <w:sz w:val="22"/>
        </w:rPr>
        <w:t xml:space="preserve">• </w:t>
      </w:r>
      <w:r>
        <w:rPr>
          <w:sz w:val="22"/>
          <w:b/>
        </w:rPr>
        <w:t xml:space="preserve">Not rounding.</w:t>
      </w:r>
      <w:r>
        <w:rPr>
          <w:sz w:val="22"/>
        </w:rPr>
        <w:t xml:space="preserve"> </w:t>
      </w:r>
      <w:r>
        <w:rPr>
          <w:sz w:val="22"/>
          <w:rFonts w:ascii="Consolas" w:hAnsi="Consolas"/>
          <w:sz w:val="20"/>
        </w:rPr>
        <w:t xml:space="preserve">displayed_fee_amount</w:t>
      </w:r>
      <w:r>
        <w:rPr>
          <w:sz w:val="22"/>
        </w:rPr>
        <w:t xml:space="preserve"> is a group key rather than an aggregate, so the </w:t>
      </w:r>
      <w:r>
        <w:rPr>
          <w:sz w:val="22"/>
          <w:rFonts w:ascii="Consolas" w:hAnsi="Consolas"/>
          <w:sz w:val="20"/>
        </w:rPr>
        <w:t xml:space="preserve">$2.50</w:t>
      </w:r>
      <w:r>
        <w:rPr>
          <w:sz w:val="22"/>
        </w:rPr>
        <w:t xml:space="preserve"> is the literal fee and cannot be a rounded total.</w:t>
      </w:r>
    </w:p>
    <w:p>
      <w:pPr>
        <w:spacing w:before="280" w:after="120"/>
        <w:rPr>
          <w:sz w:val="28"/>
          <w:b/>
        </w:rPr>
      </w:pPr>
      <w:r>
        <w:rPr>
          <w:sz w:val="28"/>
          <w:b/>
        </w:rPr>
        <w:t xml:space="preserve">Impact</w:t>
      </w:r>
    </w:p>
    <w:p>
      <w:pPr>
        <w:spacing w:before="0" w:after="120"/>
        <w:rPr>
          <w:sz w:val="22"/>
        </w:rPr>
      </w:pPr>
      <w:r>
        <w:rPr>
          <w:sz w:val="22"/>
        </w:rPr>
        <w:t xml:space="preserve">A merchant can be shown rows that contradict the filter on their screen, with nothing to indicate it. Because the result depends on history rather than on the query, the same filter can look correct one moment and wrong the next.</w:t>
      </w:r>
    </w:p>
    <w:p>
      <w:pPr>
        <w:spacing w:before="0" w:after="120"/>
        <w:rPr>
          <w:sz w:val="22"/>
        </w:rPr>
      </w:pPr>
      <w:r>
        <w:rPr>
          <w:sz w:val="22"/>
          <w:b/>
        </w:rPr>
        <w:t xml:space="preserve">Workaround:</w:t>
      </w:r>
      <w:r>
        <w:rPr>
          <w:sz w:val="22"/>
        </w:rPr>
        <w:t xml:space="preserve"> reload the page before running a clause you intend to rely on.</w:t>
      </w:r>
    </w:p>
    <w:p>
      <w:pPr>
        <w:spacing w:before="280" w:after="120"/>
        <w:rPr>
          <w:sz w:val="28"/>
          <w:b/>
        </w:rPr>
      </w:pPr>
      <w:r>
        <w:rPr>
          <w:sz w:val="28"/>
          <w:b/>
        </w:rPr>
        <w:t xml:space="preserve">Notes for the developer</w:t>
      </w:r>
    </w:p>
    <w:p>
      <w:pPr>
        <w:spacing w:before="0" w:after="120"/>
        <w:rPr>
          <w:sz w:val="22"/>
        </w:rPr>
      </w:pPr>
      <w:r>
        <w:rPr>
          <w:sz w:val="22"/>
        </w:rPr>
        <w:t xml:space="preserve">The request is identical in both cases, so the divergence is on the answering side rather than in what the page sends.</w:t>
      </w:r>
    </w:p>
    <w:p>
      <w:pPr>
        <w:spacing w:before="0" w:after="120"/>
        <w:rPr>
          <w:sz w:val="22"/>
        </w:rPr>
      </w:pPr>
      <w:r>
        <w:rPr>
          <w:sz w:val="22"/>
        </w:rPr>
        <w:t xml:space="preserve">This also limits test coverage: the automated case walks six filter combinations, and because it fails at the third, the remaining three are never exercised on BillPay until this is fixed.</w:t>
      </w:r>
    </w:p>
    <w:p>
      <w:pPr>
        <w:spacing w:before="0" w:after="200"/>
        <w:rPr>
          <w:sz w:val="36"/>
          <w:b/>
        </w:rPr>
      </w:pPr>
      <w:r>
        <w:rPr>
          <w:sz w:val="36"/>
          <w:b/>
        </w:rPr>
        <w:t xml:space="preserve">8.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9. PS-GR-06 — the statistics graph and the query table disagree</w:t>
      </w:r>
    </w:p>
    <w:p>
      <w:pPr>
        <w:spacing w:before="0" w:after="120"/>
        <w:rPr>
          <w:sz w:val="22"/>
        </w:rPr>
      </w:pPr>
      <w:r>
        <w:rPr>
          <w:sz w:val="22"/>
          <w:b/>
        </w:rPr>
        <w:t xml:space="preserve">Priority:</w:t>
      </w:r>
      <w:r>
        <w:rPr>
          <w:sz w:val="22"/>
        </w:rPr>
        <w:t xml:space="preserve"> High · </w:t>
      </w:r>
      <w:r>
        <w:rPr>
          <w:sz w:val="22"/>
          <w:b/>
        </w:rPr>
        <w:t xml:space="preserve">Gateway:</w:t>
      </w:r>
      <w:r>
        <w:rPr>
          <w:sz w:val="22"/>
        </w:rPr>
        <w:t xml:space="preserve"> BillPay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Prepare Query table describe the same payments over the same date range, and they do not agree on how many there are.</w:t>
      </w:r>
    </w:p>
    <w:p>
      <w:pPr>
        <w:spacing w:before="280" w:after="120"/>
        <w:rPr>
          <w:sz w:val="28"/>
          <w:b/>
        </w:rPr>
      </w:pPr>
      <w:r>
        <w:rPr>
          <w:sz w:val="28"/>
          <w:b/>
        </w:rPr>
        <w:t xml:space="preserve">Steps to reproduce</w:t>
      </w:r>
    </w:p>
    <w:p>
      <w:pPr>
        <w:spacing w:before="0" w:after="120"/>
        <w:rPr>
          <w:sz w:val="22"/>
        </w:rPr>
      </w:pPr>
      <w:r>
        <w:rPr>
          <w:sz w:val="22"/>
        </w:rPr>
        <w:t xml:space="preserve">1. Open </w:t>
      </w:r>
      <w:r>
        <w:rPr>
          <w:sz w:val="22"/>
          <w:b/>
        </w:rPr>
        <w:t xml:space="preserve">Payment Stats</w:t>
      </w:r>
      <w:r>
        <w:rPr>
          <w:sz w:val="22"/>
        </w:rPr>
        <w:t xml:space="preserve"> as BillPay, set a 90-day range and press </w:t>
      </w:r>
      <w:r>
        <w:rPr>
          <w:sz w:val="22"/>
          <w:b/>
        </w:rPr>
        <w:t xml:space="preserve">Submit</w:t>
      </w:r>
      <w:r>
        <w:rPr>
          <w:sz w:val="22"/>
        </w:rPr>
        <w:t xml:space="preserve">. 2. Read the ACH and Card percentages from the </w:t>
      </w:r>
      <w:r>
        <w:rPr>
          <w:sz w:val="22"/>
          <w:b/>
        </w:rPr>
        <w:t xml:space="preserve">Payment Statistics</w:t>
      </w:r>
      <w:r>
        <w:rPr>
          <w:sz w:val="22"/>
        </w:rPr>
        <w:t xml:space="preserve"> graph. 3. Expand </w:t>
      </w:r>
      <w:r>
        <w:rPr>
          <w:sz w:val="22"/>
          <w:b/>
        </w:rPr>
        <w:t xml:space="preserve">Prepare Query</w:t>
      </w:r>
      <w:r>
        <w:rPr>
          <w:sz w:val="22"/>
        </w:rPr>
        <w:t xml:space="preserve"> and press </w:t>
      </w:r>
      <w:r>
        <w:rPr>
          <w:sz w:val="22"/>
          <w:b/>
        </w:rPr>
        <w:t xml:space="preserve">Execute</w:t>
      </w:r>
      <w:r>
        <w:rPr>
          <w:sz w:val="22"/>
        </w:rPr>
        <w:t xml:space="preserve"> with the default grouping. 4. Add up the </w:t>
      </w:r>
      <w:r>
        <w:rPr>
          <w:sz w:val="22"/>
          <w:b/>
        </w:rPr>
        <w:t xml:space="preserve">Count</w:t>
      </w:r>
      <w:r>
        <w:rPr>
          <w:sz w:val="22"/>
        </w:rPr>
        <w:t xml:space="preserve"> column across the ACH rows, and separately across the card rows. The grid paints only the rows that fit the viewport, so scroll to reach them all. 5. Compare the two splits.</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so both report the same split.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340" w:type="dxa"/>
            <w:shd w:val="clear" w:fill="F2F2F2"/>
          </w:tcPr>
          <w:p>
            <w:pPr>
              <w:spacing w:before="40" w:after="40"/>
            </w:pPr>
            <w:r>
              <w:rPr>
                <w:sz w:val="20"/>
                <w:b/>
              </w:rPr>
              <w:t xml:space="preserve"/>
            </w:r>
          </w:p>
        </w:tc>
        <w:tc>
          <w:tcPr>
            <w:tcW w:w="2340" w:type="dxa"/>
            <w:shd w:val="clear" w:fill="F2F2F2"/>
          </w:tcPr>
          <w:p>
            <w:pPr>
              <w:spacing w:before="40" w:after="40"/>
            </w:pPr>
            <w:r>
              <w:rPr>
                <w:sz w:val="20"/>
                <w:b/>
              </w:rPr>
              <w:t xml:space="preserve">ACH</w:t>
            </w:r>
          </w:p>
        </w:tc>
        <w:tc>
          <w:tcPr>
            <w:tcW w:w="2340" w:type="dxa"/>
            <w:shd w:val="clear" w:fill="F2F2F2"/>
          </w:tcPr>
          <w:p>
            <w:pPr>
              <w:spacing w:before="40" w:after="40"/>
            </w:pPr>
            <w:r>
              <w:rPr>
                <w:sz w:val="20"/>
                <w:b/>
              </w:rPr>
              <w:t xml:space="preserve">Card</w:t>
            </w:r>
          </w:p>
        </w:tc>
        <w:tc>
          <w:tcPr>
            <w:tcW w:w="2340" w:type="dxa"/>
            <w:shd w:val="clear" w:fill="F2F2F2"/>
          </w:tcPr>
          <w:p>
            <w:pPr>
              <w:spacing w:before="40" w:after="40"/>
            </w:pPr>
            <w:r>
              <w:rPr>
                <w:sz w:val="20"/>
                <w:b/>
              </w:rPr>
              <w:t xml:space="preserve">ACH share</w:t>
            </w:r>
          </w:p>
        </w:tc>
      </w:tr>
      <w:tr>
        <w:tc>
          <w:tcPr>
            <w:tcW w:w="2340" w:type="dxa"/>
          </w:tcPr>
          <w:p>
            <w:pPr>
              <w:spacing w:before="40" w:after="40"/>
            </w:pPr>
            <w:r>
              <w:rPr>
                <w:sz w:val="20"/>
              </w:rPr>
              <w:t xml:space="preserve">Query table</w:t>
            </w:r>
          </w:p>
        </w:tc>
        <w:tc>
          <w:tcPr>
            <w:tcW w:w="2340" w:type="dxa"/>
          </w:tcPr>
          <w:p>
            <w:pPr>
              <w:spacing w:before="40" w:after="40"/>
            </w:pPr>
            <w:r>
              <w:rPr>
                <w:sz w:val="20"/>
              </w:rPr>
              <w:t xml:space="preserve">95</w:t>
            </w:r>
          </w:p>
        </w:tc>
        <w:tc>
          <w:tcPr>
            <w:tcW w:w="2340" w:type="dxa"/>
          </w:tcPr>
          <w:p>
            <w:pPr>
              <w:spacing w:before="40" w:after="40"/>
            </w:pPr>
            <w:r>
              <w:rPr>
                <w:sz w:val="20"/>
              </w:rPr>
              <w:t xml:space="preserve">121</w:t>
            </w:r>
          </w:p>
        </w:tc>
        <w:tc>
          <w:tcPr>
            <w:tcW w:w="2340" w:type="dxa"/>
          </w:tcPr>
          <w:p>
            <w:pPr>
              <w:spacing w:before="40" w:after="40"/>
            </w:pPr>
            <w:r>
              <w:rPr>
                <w:sz w:val="20"/>
              </w:rPr>
              <w:t xml:space="preserve">43.98%</w:t>
            </w:r>
          </w:p>
        </w:tc>
      </w:tr>
      <w:tr>
        <w:tc>
          <w:tcPr>
            <w:tcW w:w="2340" w:type="dxa"/>
          </w:tcPr>
          <w:p>
            <w:pPr>
              <w:spacing w:before="40" w:after="40"/>
            </w:pPr>
            <w:r>
              <w:rPr>
                <w:sz w:val="20"/>
              </w:rPr>
              <w:t xml:space="preserve">Graph</w:t>
            </w:r>
          </w:p>
        </w:tc>
        <w:tc>
          <w:tcPr>
            <w:tcW w:w="2340" w:type="dxa"/>
          </w:tcPr>
          <w:p>
            <w:pPr>
              <w:spacing w:before="40" w:after="40"/>
            </w:pPr>
            <w:r>
              <w:rPr>
                <w:sz w:val="20"/>
              </w:rPr>
              <w:t xml:space="preserve">—</w:t>
            </w:r>
          </w:p>
        </w:tc>
        <w:tc>
          <w:tcPr>
            <w:tcW w:w="2340" w:type="dxa"/>
          </w:tcPr>
          <w:p>
            <w:pPr>
              <w:spacing w:before="40" w:after="40"/>
            </w:pPr>
            <w:r>
              <w:rPr>
                <w:sz w:val="20"/>
              </w:rPr>
              <w:t xml:space="preserve">—</w:t>
            </w:r>
          </w:p>
        </w:tc>
        <w:tc>
          <w:tcPr>
            <w:tcW w:w="2340" w:type="dxa"/>
          </w:tcPr>
          <w:p>
            <w:pPr>
              <w:spacing w:before="40" w:after="40"/>
            </w:pPr>
            <w:r>
              <w:rPr>
                <w:sz w:val="20"/>
              </w:rPr>
              <w:t xml:space="preserve">44.81%</w:t>
            </w:r>
          </w:p>
        </w:tc>
      </w:tr>
    </w:tbl>
    <w:p>
      <w:pPr>
        <w:spacing w:after="120"/>
      </w:pPr>
    </w:p>
    <w:p>
      <w:pPr>
        <w:spacing w:before="0" w:after="120"/>
        <w:rPr>
          <w:sz w:val="22"/>
        </w:rPr>
      </w:pPr>
      <w:r>
        <w:rPr>
          <w:sz w:val="22"/>
        </w:rPr>
        <w:t xml:space="preserve">Working back from 44.81%, the graph is counting 95 ACH and </w:t>
      </w:r>
      <w:r>
        <w:rPr>
          <w:sz w:val="22"/>
          <w:b/>
        </w:rPr>
        <w:t xml:space="preserve">117</w:t>
      </w:r>
      <w:r>
        <w:rPr>
          <w:sz w:val="22"/>
        </w:rPr>
        <w:t xml:space="preserve"> card payments — four fewer card payments than the query finds over the identical range.</w:t>
      </w:r>
    </w:p>
    <w:p>
      <w:pPr>
        <w:spacing w:before="280" w:after="120"/>
        <w:rPr>
          <w:sz w:val="28"/>
          <w:b/>
        </w:rPr>
      </w:pPr>
      <w:r>
        <w:rPr>
          <w:sz w:val="28"/>
          <w:b/>
        </w:rPr>
        <w:t xml:space="preserve">Why it is the graph, not the query</w:t>
      </w:r>
    </w:p>
    <w:p>
      <w:pPr>
        <w:spacing w:before="0" w:after="120"/>
        <w:rPr>
          <w:sz w:val="22"/>
        </w:rPr>
      </w:pPr>
      <w:r>
        <w:rPr>
          <w:sz w:val="22"/>
        </w:rPr>
        <w:t xml:space="preserve">The query side is self-consistent. The default grouping, grouping by Funding Method alone, and a two-field grouping all return the same 95 and 121. A Having clause narrows the table from 7 rows to 6 and leaves the graph untouched, as it should.</w:t>
      </w:r>
    </w:p>
    <w:p>
      <w:pPr>
        <w:spacing w:before="0" w:after="120"/>
        <w:rPr>
          <w:sz w:val="22"/>
        </w:rPr>
      </w:pPr>
      <w:r>
        <w:rPr>
          <w:sz w:val="22"/>
        </w:rPr>
        <w:t xml:space="preserve">So the disagreement is between the two views, not within the query.</w:t>
      </w:r>
    </w:p>
    <w:p>
      <w:pPr>
        <w:spacing w:before="280" w:after="120"/>
        <w:rPr>
          <w:sz w:val="28"/>
          <w:b/>
        </w:rPr>
      </w:pPr>
      <w:r>
        <w:rPr>
          <w:sz w:val="28"/>
          <w:b/>
        </w:rPr>
        <w:t xml:space="preserve">Impact</w:t>
      </w:r>
    </w:p>
    <w:p>
      <w:pPr>
        <w:spacing w:before="0" w:after="120"/>
        <w:rPr>
          <w:sz w:val="22"/>
        </w:rPr>
      </w:pPr>
      <w:r>
        <w:rPr>
          <w:sz w:val="22"/>
        </w:rPr>
        <w:t xml:space="preserve">Two numbers for the same thing on the same screen. A merchant reading the graph and a merchant reading the table reach different conclusions, and nothing says which to trust.</w:t>
      </w:r>
    </w:p>
    <w:p>
      <w:pPr>
        <w:spacing w:before="0" w:after="200"/>
        <w:rPr>
          <w:sz w:val="36"/>
          <w:b/>
        </w:rPr>
      </w:pPr>
      <w:r>
        <w:rPr>
          <w:sz w:val="36"/>
          <w:b/>
        </w:rPr>
        <w:t xml:space="preserve">10. PS-NEG-01 — a failed request leaves the page silent</w:t>
      </w:r>
    </w:p>
    <w:p>
      <w:pPr>
        <w:spacing w:before="0" w:after="120"/>
        <w:rPr>
          <w:sz w:val="22"/>
        </w:rPr>
      </w:pPr>
      <w:r>
        <w:rPr>
          <w:sz w:val="22"/>
          <w:b/>
        </w:rPr>
        <w:t xml:space="preserve">Priority:</w:t>
      </w:r>
      <w:r>
        <w:rPr>
          <w:sz w:val="22"/>
        </w:rPr>
        <w:t xml:space="preserve"> Critical · </w:t>
      </w:r>
      <w:r>
        <w:rPr>
          <w:sz w:val="22"/>
          <w:b/>
        </w:rPr>
        <w:t xml:space="preserve">Gateways:</w:t>
      </w:r>
      <w:r>
        <w:rPr>
          <w:sz w:val="22"/>
        </w:rPr>
        <w:t xml:space="preserve"> all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When the stats request fails, the page says nothing at all. No toast, no banner, no inline message. A broken request looks exactly like a date range that had no payments.</w:t>
      </w:r>
    </w:p>
    <w:p>
      <w:pPr>
        <w:spacing w:before="280" w:after="120"/>
        <w:rPr>
          <w:sz w:val="28"/>
          <w:b/>
        </w:rPr>
      </w:pPr>
      <w:r>
        <w:rPr>
          <w:sz w:val="28"/>
          <w:b/>
        </w:rPr>
        <w:t xml:space="preserve">Steps to reproduce</w:t>
      </w:r>
    </w:p>
    <w:p>
      <w:pPr>
        <w:spacing w:before="0" w:after="120"/>
        <w:rPr>
          <w:sz w:val="22"/>
        </w:rPr>
      </w:pPr>
      <w:r>
        <w:rPr>
          <w:sz w:val="22"/>
        </w:rPr>
        <w:t xml:space="preserve">1. Open DevTools and add a request-block rule for </w:t>
      </w:r>
      <w:r>
        <w:rPr>
          <w:sz w:val="22"/>
          <w:rFonts w:ascii="Consolas" w:hAnsi="Consolas"/>
          <w:sz w:val="20"/>
        </w:rPr>
        <w:t xml:space="preserve">payment_stats_us</w:t>
      </w:r>
      <w:r>
        <w:rPr>
          <w:sz w:val="22"/>
        </w:rPr>
        <w:t xml:space="preserve">. 2. Navigate to </w:t>
      </w:r>
      <w:r>
        <w:rPr>
          <w:sz w:val="22"/>
          <w:b/>
        </w:rPr>
        <w:t xml:space="preserve">Payment Stats</w:t>
      </w:r>
      <w:r>
        <w:rPr>
          <w:sz w:val="22"/>
        </w:rPr>
        <w:t xml:space="preserve"> through the sidebar. 3. Watch the page while the request fails.</w:t>
      </w:r>
    </w:p>
    <w:p>
      <w:pPr>
        <w:spacing w:before="280" w:after="120"/>
        <w:rPr>
          <w:sz w:val="28"/>
          <w:b/>
        </w:rPr>
      </w:pPr>
      <w:r>
        <w:rPr>
          <w:sz w:val="28"/>
          <w:b/>
        </w:rPr>
        <w:t xml:space="preserve">Expected result</w:t>
      </w:r>
    </w:p>
    <w:p>
      <w:pPr>
        <w:spacing w:before="0" w:after="120"/>
        <w:rPr>
          <w:sz w:val="22"/>
        </w:rPr>
      </w:pPr>
      <w:r>
        <w:rPr>
          <w:sz w:val="22"/>
        </w:rPr>
        <w:t xml:space="preserve">Something tells the merchant the data could not be loaded.</w:t>
      </w:r>
    </w:p>
    <w:p>
      <w:pPr>
        <w:spacing w:before="280" w:after="120"/>
        <w:rPr>
          <w:sz w:val="28"/>
          <w:b/>
        </w:rPr>
      </w:pPr>
      <w:r>
        <w:rPr>
          <w:sz w:val="28"/>
          <w:b/>
        </w:rPr>
        <w:t xml:space="preserve">Actual result</w:t>
      </w:r>
    </w:p>
    <w:p>
      <w:pPr>
        <w:spacing w:before="0" w:after="120"/>
        <w:rPr>
          <w:sz w:val="22"/>
        </w:rPr>
      </w:pPr>
      <w:r>
        <w:rPr>
          <w:sz w:val="22"/>
        </w:rPr>
        <w:t xml:space="preserve">The table renders its five column headings with no rows. The refresh icon is not spinning. There is no message of any kind anywhere on the page.</w:t>
      </w:r>
    </w:p>
    <w:p>
      <w:pPr>
        <w:spacing w:before="0" w:after="120"/>
        <w:rPr>
          <w:sz w:val="22"/>
        </w:rPr>
      </w:pPr>
      <w:r>
        <w:rPr>
          <w:sz w:val="22"/>
        </w:rPr>
        <w:t xml:space="preserve">The merchant cannot tell a failure from an empty range, and has no reason to retry.</w:t>
      </w:r>
    </w:p>
    <w:p>
      <w:pPr>
        <w:spacing w:before="280" w:after="120"/>
        <w:rPr>
          <w:sz w:val="28"/>
          <w:b/>
        </w:rPr>
      </w:pPr>
      <w:r>
        <w:rPr>
          <w:sz w:val="28"/>
          <w:b/>
        </w:rPr>
        <w:t xml:space="preserve">Impact</w:t>
      </w:r>
    </w:p>
    <w:p>
      <w:pPr>
        <w:spacing w:before="0" w:after="120"/>
        <w:rPr>
          <w:sz w:val="22"/>
        </w:rPr>
      </w:pPr>
      <w:r>
        <w:rPr>
          <w:sz w:val="22"/>
        </w:rPr>
        <w:t xml:space="preserve">This is what makes several other defects invisible. PS-NEG-11, where a refresh empties the table, is only silent because of this one.</w:t>
      </w:r>
    </w:p>
    <w:p>
      <w:pPr>
        <w:spacing w:before="0" w:after="200"/>
        <w:rPr>
          <w:sz w:val="36"/>
          <w:b/>
        </w:rPr>
      </w:pPr>
      <w:r>
        <w:rPr>
          <w:sz w:val="36"/>
          <w:b/>
        </w:rPr>
        <w:t xml:space="preserve">11. PS-NEG-02 — the failure handler hides the real error</w:t>
      </w:r>
    </w:p>
    <w:p>
      <w:pPr>
        <w:spacing w:before="0" w:after="120"/>
        <w:rPr>
          <w:sz w:val="22"/>
        </w:rPr>
      </w:pPr>
      <w:r>
        <w:rPr>
          <w:sz w:val="22"/>
          <w:b/>
        </w:rPr>
        <w:t xml:space="preserve">Priority:</w:t>
      </w:r>
      <w:r>
        <w:rPr>
          <w:sz w:val="22"/>
        </w:rPr>
        <w:t xml:space="preserve"> Medium · </w:t>
      </w:r>
      <w:r>
        <w:rPr>
          <w:sz w:val="22"/>
          <w:b/>
        </w:rPr>
        <w:t xml:space="preserve">Gateways:</w:t>
      </w:r>
      <w:r>
        <w:rPr>
          <w:sz w:val="22"/>
        </w:rPr>
        <w:t xml:space="preserve"> all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When a stats request fails, the page's own failure handler throws a </w:t>
      </w:r>
      <w:r>
        <w:rPr>
          <w:sz w:val="22"/>
          <w:rFonts w:ascii="Consolas" w:hAnsi="Consolas"/>
          <w:sz w:val="20"/>
        </w:rPr>
        <w:t xml:space="preserve">ReferenceError</w:t>
      </w:r>
      <w:r>
        <w:rPr>
          <w:sz w:val="22"/>
        </w:rPr>
        <w:t xml:space="preserve"> before it can report the API error. The real cause never reaches the console, so support has nothing to diagnose.</w:t>
      </w:r>
    </w:p>
    <w:p>
      <w:pPr>
        <w:spacing w:before="280" w:after="120"/>
        <w:rPr>
          <w:sz w:val="28"/>
          <w:b/>
        </w:rPr>
      </w:pPr>
      <w:r>
        <w:rPr>
          <w:sz w:val="28"/>
          <w:b/>
        </w:rPr>
        <w:t xml:space="preserve">Steps to reproduce</w:t>
      </w:r>
    </w:p>
    <w:p>
      <w:pPr>
        <w:spacing w:before="0" w:after="120"/>
        <w:rPr>
          <w:sz w:val="22"/>
        </w:rPr>
      </w:pPr>
      <w:r>
        <w:rPr>
          <w:sz w:val="22"/>
        </w:rPr>
        <w:t xml:space="preserve">1. Open DevTools, Console tab, and clear it. 2. Open </w:t>
      </w:r>
      <w:r>
        <w:rPr>
          <w:sz w:val="22"/>
          <w:b/>
        </w:rPr>
        <w:t xml:space="preserve">Payment Stats</w:t>
      </w:r>
      <w:r>
        <w:rPr>
          <w:sz w:val="22"/>
        </w:rPr>
        <w:t xml:space="preserve"> normally and confirm the console is clean. This is the control. 3. Make the stats call fail — block </w:t>
      </w:r>
      <w:r>
        <w:rPr>
          <w:sz w:val="22"/>
          <w:rFonts w:ascii="Consolas" w:hAnsi="Consolas"/>
          <w:sz w:val="20"/>
        </w:rPr>
        <w:t xml:space="preserve">payment_stats_us</w:t>
      </w:r>
      <w:r>
        <w:rPr>
          <w:sz w:val="22"/>
        </w:rPr>
        <w:t xml:space="preserve">, or return a 500. 4. Reload Payment Stats and read the console.</w:t>
      </w:r>
    </w:p>
    <w:p>
      <w:pPr>
        <w:spacing w:before="280" w:after="120"/>
        <w:rPr>
          <w:sz w:val="28"/>
          <w:b/>
        </w:rPr>
      </w:pPr>
      <w:r>
        <w:rPr>
          <w:sz w:val="28"/>
          <w:b/>
        </w:rPr>
        <w:t xml:space="preserve">Expected result</w:t>
      </w:r>
    </w:p>
    <w:p>
      <w:pPr>
        <w:spacing w:before="0" w:after="120"/>
        <w:rPr>
          <w:sz w:val="22"/>
        </w:rPr>
      </w:pPr>
      <w:r>
        <w:rPr>
          <w:sz w:val="22"/>
        </w:rPr>
        <w:t xml:space="preserve">The genuine API error reaches the console.</w:t>
      </w:r>
    </w:p>
    <w:p>
      <w:pPr>
        <w:spacing w:before="280" w:after="120"/>
        <w:rPr>
          <w:sz w:val="28"/>
          <w:b/>
        </w:rPr>
      </w:pPr>
      <w:r>
        <w:rPr>
          <w:sz w:val="28"/>
          <w:b/>
        </w:rPr>
        <w:t xml:space="preserve">Actual result</w:t>
      </w:r>
    </w:p>
    <w:p>
      <w:pPr>
        <w:spacing w:before="0" w:after="120"/>
        <w:rPr>
          <w:sz w:val="22"/>
        </w:rPr>
      </w:pPr>
      <w:r>
        <w:rPr>
          <w:sz w:val="22"/>
        </w:rPr>
        <w:t xml:space="preserve">The console carries </w:t>
      </w:r>
      <w:r>
        <w:rPr>
          <w:sz w:val="22"/>
          <w:rFonts w:ascii="Consolas" w:hAnsi="Consolas"/>
          <w:sz w:val="20"/>
        </w:rPr>
        <w:t xml:space="preserve">err is not defined</w:t>
      </w:r>
      <w:r>
        <w:rPr>
          <w:sz w:val="22"/>
        </w:rPr>
        <w:t xml:space="preserve"> — the handler's own fault — instead of the error that caused it.</w:t>
      </w:r>
    </w:p>
    <w:p>
      <w:pPr>
        <w:spacing w:before="280" w:after="120"/>
        <w:rPr>
          <w:sz w:val="28"/>
          <w:b/>
        </w:rPr>
      </w:pPr>
      <w:r>
        <w:rPr>
          <w:sz w:val="28"/>
          <w:b/>
        </w:rPr>
        <w:t xml:space="preserve">Impact</w:t>
      </w:r>
    </w:p>
    <w:p>
      <w:pPr>
        <w:spacing w:before="0" w:after="120"/>
        <w:rPr>
          <w:sz w:val="22"/>
        </w:rPr>
      </w:pPr>
      <w:r>
        <w:rPr>
          <w:sz w:val="22"/>
        </w:rPr>
        <w:t xml:space="preserve">Invisible during normal use, because a healthy session never enters the failure handler. It only bites once something has already gone wrong, which is exactly when the information is needed.</w:t>
      </w:r>
    </w:p>
    <w:p>
      <w:pPr>
        <w:spacing w:before="0" w:after="200"/>
        <w:rPr>
          <w:sz w:val="36"/>
          <w:b/>
        </w:rPr>
      </w:pPr>
      <w:r>
        <w:rPr>
          <w:sz w:val="36"/>
          <w:b/>
        </w:rPr>
        <w:t xml:space="preserve">12. PS-NEG-11 — a page refresh loses the sub-merchant and empties the table</w:t>
      </w:r>
    </w:p>
    <w:p>
      <w:pPr>
        <w:spacing w:before="0" w:after="120"/>
        <w:rPr>
          <w:sz w:val="22"/>
        </w:rPr>
      </w:pPr>
      <w:r>
        <w:rPr>
          <w:sz w:val="22"/>
          <w:b/>
        </w:rPr>
        <w:t xml:space="preserve">Priority:</w:t>
      </w:r>
      <w:r>
        <w:rPr>
          <w:sz w:val="22"/>
        </w:rPr>
        <w:t xml:space="preserve"> Critical · </w:t>
      </w:r>
      <w:r>
        <w:rPr>
          <w:sz w:val="22"/>
          <w:b/>
        </w:rPr>
        <w:t xml:space="preserve">Gateways:</w:t>
      </w:r>
      <w:r>
        <w:rPr>
          <w:sz w:val="22"/>
        </w:rPr>
        <w:t xml:space="preserve"> all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Pressing F5 on that same page re-sends the request with an empty </w:t>
      </w:r>
      <w:r>
        <w:rPr>
          <w:sz w:val="22"/>
          <w:rFonts w:ascii="Consolas" w:hAnsi="Consolas"/>
          <w:sz w:val="20"/>
        </w:rPr>
        <w:t xml:space="preserve">sub_merchant_id</w:t>
      </w:r>
      <w:r>
        <w:rPr>
          <w:sz w:val="22"/>
        </w:rPr>
        <w:t xml:space="preserve">, the API answers 400, and the table empties — silently, because the page shows no error.</w:t>
      </w:r>
    </w:p>
    <w:p>
      <w:pPr>
        <w:spacing w:before="280" w:after="120"/>
        <w:rPr>
          <w:sz w:val="28"/>
          <w:b/>
        </w:rPr>
      </w:pPr>
      <w:r>
        <w:rPr>
          <w:sz w:val="28"/>
          <w:b/>
        </w:rPr>
        <w:t xml:space="preserve">Steps to reproduce</w:t>
      </w:r>
    </w:p>
    <w:p>
      <w:pPr>
        <w:spacing w:before="0" w:after="120"/>
        <w:rPr>
          <w:sz w:val="22"/>
        </w:rPr>
      </w:pPr>
      <w:r>
        <w:rPr>
          <w:sz w:val="22"/>
        </w:rPr>
        <w:t xml:space="preserve">1. Open DevTools, Network tab, filter on </w:t>
      </w:r>
      <w:r>
        <w:rPr>
          <w:sz w:val="22"/>
          <w:rFonts w:ascii="Consolas" w:hAnsi="Consolas"/>
          <w:sz w:val="20"/>
        </w:rPr>
        <w:t xml:space="preserve">payment_stats</w:t>
      </w:r>
      <w:r>
        <w:rPr>
          <w:sz w:val="22"/>
        </w:rPr>
        <w:t xml:space="preserve">. 2. Navigate to </w:t>
      </w:r>
      <w:r>
        <w:rPr>
          <w:sz w:val="22"/>
          <w:b/>
        </w:rPr>
        <w:t xml:space="preserve">Payment Stats</w:t>
      </w:r>
      <w:r>
        <w:rPr>
          <w:sz w:val="22"/>
        </w:rPr>
        <w:t xml:space="preserve"> through the sidebar. The table renders and the request carries a populated </w:t>
      </w:r>
      <w:r>
        <w:rPr>
          <w:sz w:val="22"/>
          <w:rFonts w:ascii="Consolas" w:hAnsi="Consolas"/>
          <w:sz w:val="20"/>
        </w:rPr>
        <w:t xml:space="preserve">sub_merchant_id</w:t>
      </w:r>
      <w:r>
        <w:rPr>
          <w:sz w:val="22"/>
        </w:rPr>
        <w:t xml:space="preserve">. 3. Press </w:t>
      </w:r>
      <w:r>
        <w:rPr>
          <w:sz w:val="22"/>
          <w:b/>
        </w:rPr>
        <w:t xml:space="preserve">F5</w:t>
      </w:r>
      <w:r>
        <w:rPr>
          <w:sz w:val="22"/>
        </w:rPr>
        <w:t xml:space="preserve"> on that same page. 4. Inspect the new request and the table.</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w:t>
      </w:r>
    </w:p>
    <w:p>
      <w:pPr>
        <w:spacing w:before="280" w:after="120"/>
        <w:rPr>
          <w:sz w:val="28"/>
          <w:b/>
        </w:rPr>
      </w:pPr>
      <w:r>
        <w:rPr>
          <w:sz w:val="28"/>
          <w:b/>
        </w:rPr>
        <w:t xml:space="preserve">Actual result</w:t>
      </w:r>
    </w:p>
    <w:p>
      <w:pPr>
        <w:spacing w:before="0" w:after="120"/>
        <w:rPr>
          <w:sz w:val="22"/>
        </w:rPr>
      </w:pPr>
      <w:r>
        <w:rPr>
          <w:sz w:val="22"/>
        </w:rPr>
        <w:t xml:space="preserve">The refreshed request goes out with </w:t>
      </w:r>
      <w:r>
        <w:rPr>
          <w:sz w:val="22"/>
          <w:rFonts w:ascii="Consolas" w:hAnsi="Consolas"/>
          <w:sz w:val="20"/>
        </w:rPr>
        <w:t xml:space="preserve">sub_merchant_id</w:t>
      </w:r>
      <w:r>
        <w:rPr>
          <w:sz w:val="22"/>
        </w:rPr>
        <w:t xml:space="preserve"> empty. The API answers 400 and the table empties, with nothing shown to the merchant.</w:t>
      </w:r>
    </w:p>
    <w:p>
      <w:pPr>
        <w:spacing w:before="280" w:after="120"/>
        <w:rPr>
          <w:sz w:val="28"/>
          <w:b/>
        </w:rPr>
      </w:pPr>
      <w:r>
        <w:rPr>
          <w:sz w:val="28"/>
          <w:b/>
        </w:rPr>
        <w:t xml:space="preserve">Impact</w:t>
      </w:r>
    </w:p>
    <w:p>
      <w:pPr>
        <w:spacing w:before="0" w:after="120"/>
        <w:rPr>
          <w:sz w:val="22"/>
        </w:rPr>
      </w:pPr>
      <w:r>
        <w:rPr>
          <w:sz w:val="22"/>
        </w:rPr>
        <w:t xml:space="preserve">Refreshing a page is the most ordinary thing a user can do, and here it breaks the screen with no explanation. Combined with PS-NEG-01, the merchant sees an empty table and has no way to know whether that means "no payments" or "something went wrong".</w:t>
      </w:r>
    </w:p>
    <w:p>
      <w:pPr>
        <w:spacing w:before="0" w:after="120"/>
        <w:rPr>
          <w:sz w:val="22"/>
        </w:rPr>
      </w:pPr>
      <w:r>
        <w:rPr>
          <w:sz w:val="22"/>
          <w:b/>
        </w:rPr>
        <w:t xml:space="preserve">Workaround:</w:t>
      </w:r>
      <w:r>
        <w:rPr>
          <w:sz w:val="22"/>
        </w:rPr>
        <w:t xml:space="preserve"> navigate to the page from the sidebar rather than refreshing.</w:t>
      </w:r>
    </w:p>
    <w:p>
      <w:pPr>
        <w:spacing w:before="0" w:after="200"/>
        <w:rPr>
          <w:sz w:val="36"/>
          <w:b/>
        </w:rPr>
      </w:pPr>
      <w:r>
        <w:rPr>
          <w:sz w:val="36"/>
          <w:b/>
        </w:rPr>
        <w:t xml:space="preserve">13. PS-NEG-12 — the default date range sends a malformed month from October to December</w:t>
      </w:r>
    </w:p>
    <w:p>
      <w:pPr>
        <w:spacing w:before="0" w:after="120"/>
        <w:rPr>
          <w:sz w:val="22"/>
        </w:rPr>
      </w:pPr>
      <w:r>
        <w:rPr>
          <w:sz w:val="22"/>
          <w:b/>
        </w:rPr>
        <w:t xml:space="preserve">Priority:</w:t>
      </w:r>
      <w:r>
        <w:rPr>
          <w:sz w:val="22"/>
        </w:rPr>
        <w:t xml:space="preserve"> Critical · </w:t>
      </w:r>
      <w:r>
        <w:rPr>
          <w:sz w:val="22"/>
          <w:b/>
        </w:rPr>
        <w:t xml:space="preserve">Gateways:</w:t>
      </w:r>
      <w:r>
        <w:rPr>
          <w:sz w:val="22"/>
        </w:rPr>
        <w:t xml:space="preserve"> all · </w:t>
      </w:r>
      <w:r>
        <w:rPr>
          <w:sz w:val="22"/>
          <w:b/>
        </w:rPr>
        <w:t xml:space="preserve">Observed:</w:t>
      </w:r>
      <w:r>
        <w:rPr>
          <w:sz w:val="22"/>
        </w:rPr>
        <w:t xml:space="preserve"> 21 September 2026</w:t>
      </w:r>
    </w:p>
    <w:p>
      <w:pPr>
        <w:spacing w:before="280" w:after="120"/>
        <w:rPr>
          <w:sz w:val="28"/>
          <w:b/>
        </w:rPr>
      </w:pPr>
      <w:r>
        <w:rPr>
          <w:sz w:val="28"/>
          <w:b/>
        </w:rPr>
        <w:t xml:space="preserve">Summary</w:t>
      </w:r>
    </w:p>
    <w:p>
      <w:pPr>
        <w:spacing w:before="0" w:after="120"/>
        <w:rPr>
          <w:sz w:val="22"/>
        </w:rPr>
      </w:pPr>
      <w:r>
        <w:rPr>
          <w:sz w:val="22"/>
        </w:rPr>
        <w:t xml:space="preserve">The default date range is built by string concatenation with a </w:t>
      </w:r>
      <w:r>
        <w:rPr>
          <w:sz w:val="22"/>
          <w:b/>
        </w:rPr>
        <w:t xml:space="preserve">fixed leading zero</w:t>
      </w:r>
      <w:r>
        <w:rPr>
          <w:sz w:val="22"/>
        </w:rPr>
        <w:t xml:space="preserve">, so month 10 becomes </w:t>
      </w:r>
      <w:r>
        <w:rPr>
          <w:sz w:val="22"/>
          <w:rFonts w:ascii="Consolas" w:hAnsi="Consolas"/>
          <w:sz w:val="20"/>
        </w:rPr>
        <w:t xml:space="preserve">010</w:t>
      </w:r>
      <w:r>
        <w:rPr>
          <w:sz w:val="22"/>
        </w:rPr>
        <w:t xml:space="preserve">. The date pickers show perfectly valid dates throughout — only the request carries the malformed value, which is why nothing looks wrong on screen.</w:t>
      </w:r>
    </w:p>
    <w:p>
      <w:pPr>
        <w:spacing w:before="280" w:after="120"/>
        <w:rPr>
          <w:sz w:val="28"/>
          <w:b/>
        </w:rPr>
      </w:pPr>
      <w:r>
        <w:rPr>
          <w:sz w:val="28"/>
          <w:b/>
        </w:rPr>
        <w:t xml:space="preserve">Steps to reproduce</w:t>
      </w:r>
    </w:p>
    <w:p>
      <w:pPr>
        <w:spacing w:before="0" w:after="120"/>
        <w:rPr>
          <w:sz w:val="22"/>
        </w:rPr>
      </w:pPr>
      <w:r>
        <w:rPr>
          <w:sz w:val="22"/>
        </w:rPr>
        <w:t xml:space="preserve">1. Set the machine clock into October, November or December, or run this between those months. 2. Open </w:t>
      </w:r>
      <w:r>
        <w:rPr>
          <w:sz w:val="22"/>
          <w:b/>
        </w:rPr>
        <w:t xml:space="preserve">Payment Stats</w:t>
      </w:r>
      <w:r>
        <w:rPr>
          <w:sz w:val="22"/>
        </w:rPr>
        <w:t xml:space="preserve">. 3. Read the From and To dates in the pickers — both look correct. 4. In DevTools, inspect </w:t>
      </w:r>
      <w:r>
        <w:rPr>
          <w:sz w:val="22"/>
          <w:rFonts w:ascii="Consolas" w:hAnsi="Consolas"/>
          <w:sz w:val="20"/>
        </w:rPr>
        <w:t xml:space="preserve">fromDate</w:t>
      </w:r>
      <w:r>
        <w:rPr>
          <w:sz w:val="22"/>
        </w:rPr>
        <w:t xml:space="preserve"> and </w:t>
      </w:r>
      <w:r>
        <w:rPr>
          <w:sz w:val="22"/>
          <w:rFonts w:ascii="Consolas" w:hAnsi="Consolas"/>
          <w:sz w:val="20"/>
        </w:rPr>
        <w:t xml:space="preserve">toDate</w:t>
      </w:r>
      <w:r>
        <w:rPr>
          <w:sz w:val="22"/>
        </w:rPr>
        <w:t xml:space="preserve"> on the stats request.</w:t>
      </w:r>
    </w:p>
    <w:p>
      <w:pPr>
        <w:spacing w:before="280" w:after="120"/>
        <w:rPr>
          <w:sz w:val="28"/>
          <w:b/>
        </w:rPr>
      </w:pPr>
      <w:r>
        <w:rPr>
          <w:sz w:val="28"/>
          <w:b/>
        </w:rPr>
        <w:t xml:space="preserve">Expected result</w:t>
      </w:r>
    </w:p>
    <w:p>
      <w:pPr>
        <w:spacing w:before="0" w:after="120"/>
        <w:rPr>
          <w:sz w:val="22"/>
        </w:rPr>
      </w:pPr>
      <w:r>
        <w:rPr>
          <w:sz w:val="22"/>
        </w:rPr>
        <w:t xml:space="preserve">The month is two digits in every month of the year.</w:t>
      </w:r>
    </w:p>
    <w:p>
      <w:pPr>
        <w:spacing w:before="280" w:after="120"/>
        <w:rPr>
          <w:sz w:val="28"/>
          <w:b/>
        </w:rPr>
      </w:pPr>
      <w:r>
        <w:rPr>
          <w:sz w:val="28"/>
          <w:b/>
        </w:rPr>
        <w:t xml:space="preserve">Actual result</w:t>
      </w:r>
    </w:p>
    <w:p>
      <w:pPr>
        <w:spacing w:before="0" w:after="120"/>
        <w:rPr>
          <w:sz w:val="22"/>
        </w:rPr>
      </w:pPr>
      <w:r>
        <w:rPr>
          <w:sz w:val="22"/>
        </w:rPr>
        <w:t xml:space="preserve">Captured with the browser clock moved: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Month</w:t>
            </w:r>
          </w:p>
        </w:tc>
        <w:tc>
          <w:tcPr>
            <w:tcW w:w="4680" w:type="dxa"/>
            <w:shd w:val="clear" w:fill="F2F2F2"/>
          </w:tcPr>
          <w:p>
            <w:pPr>
              <w:spacing w:before="40" w:after="40"/>
            </w:pPr>
            <w:r>
              <w:rPr>
                <w:sz w:val="20"/>
                <w:b/>
              </w:rPr>
              <w:t xml:space="preserve">Parameter sent</w:t>
            </w:r>
          </w:p>
        </w:tc>
      </w:tr>
      <w:tr>
        <w:tc>
          <w:tcPr>
            <w:tcW w:w="4680" w:type="dxa"/>
          </w:tcPr>
          <w:p>
            <w:pPr>
              <w:spacing w:before="40" w:after="40"/>
            </w:pPr>
            <w:r>
              <w:rPr>
                <w:sz w:val="20"/>
              </w:rPr>
              <w:t xml:space="preserve">October</w:t>
            </w:r>
          </w:p>
        </w:tc>
        <w:tc>
          <w:tcPr>
            <w:tcW w:w="4680" w:type="dxa"/>
          </w:tcPr>
          <w:p>
            <w:pPr>
              <w:spacing w:before="40" w:after="40"/>
            </w:pPr>
            <w:r>
              <w:rPr>
                <w:sz w:val="20"/>
              </w:rPr>
              <w:t xml:space="preserve">toDate = 2026-010-15 10:00:00</w:t>
            </w:r>
          </w:p>
        </w:tc>
      </w:tr>
      <w:tr>
        <w:tc>
          <w:tcPr>
            <w:tcW w:w="4680" w:type="dxa"/>
          </w:tcPr>
          <w:p>
            <w:pPr>
              <w:spacing w:before="40" w:after="40"/>
            </w:pPr>
            <w:r>
              <w:rPr>
                <w:sz w:val="20"/>
              </w:rPr>
              <w:t xml:space="preserve">November</w:t>
            </w:r>
          </w:p>
        </w:tc>
        <w:tc>
          <w:tcPr>
            <w:tcW w:w="4680" w:type="dxa"/>
          </w:tcPr>
          <w:p>
            <w:pPr>
              <w:spacing w:before="40" w:after="40"/>
            </w:pPr>
            <w:r>
              <w:rPr>
                <w:sz w:val="20"/>
              </w:rPr>
              <w:t xml:space="preserve">fromDate = 2026-010-21 00:00:00</w:t>
            </w:r>
          </w:p>
        </w:tc>
      </w:tr>
      <w:tr>
        <w:tc>
          <w:tcPr>
            <w:tcW w:w="4680" w:type="dxa"/>
          </w:tcPr>
          <w:p>
            <w:pPr>
              <w:spacing w:before="40" w:after="40"/>
            </w:pPr>
            <w:r>
              <w:rPr>
                <w:sz w:val="20"/>
              </w:rPr>
              <w:t xml:space="preserve">December</w:t>
            </w:r>
          </w:p>
        </w:tc>
        <w:tc>
          <w:tcPr>
            <w:tcW w:w="4680" w:type="dxa"/>
          </w:tcPr>
          <w:p>
            <w:pPr>
              <w:spacing w:before="40" w:after="40"/>
            </w:pPr>
            <w:r>
              <w:rPr>
                <w:sz w:val="20"/>
              </w:rPr>
              <w:t xml:space="preserve">fromDate = 2026-011-5 00:00:00</w:t>
            </w:r>
          </w:p>
        </w:tc>
      </w:tr>
    </w:tbl>
    <w:p>
      <w:pPr>
        <w:spacing w:after="120"/>
      </w:pPr>
    </w:p>
    <w:p>
      <w:pPr>
        <w:spacing w:before="0" w:after="120"/>
        <w:rPr>
          <w:sz w:val="22"/>
        </w:rPr>
      </w:pPr>
      <w:r>
        <w:rPr>
          <w:sz w:val="22"/>
        </w:rPr>
        <w:t xml:space="preserve">December also shows a single-digit day. The pickers meanwhile displayed </w:t>
      </w:r>
      <w:r>
        <w:rPr>
          <w:sz w:val="22"/>
          <w:rFonts w:ascii="Consolas" w:hAnsi="Consolas"/>
          <w:sz w:val="20"/>
        </w:rPr>
        <w:t xml:space="preserve">09/15/2026</w:t>
      </w:r>
      <w:r>
        <w:rPr>
          <w:sz w:val="22"/>
        </w:rPr>
        <w:t xml:space="preserve"> and </w:t>
      </w:r>
      <w:r>
        <w:rPr>
          <w:sz w:val="22"/>
          <w:rFonts w:ascii="Consolas" w:hAnsi="Consolas"/>
          <w:sz w:val="20"/>
        </w:rPr>
        <w:t xml:space="preserve">10/21/2026</w:t>
      </w:r>
      <w:r>
        <w:rPr>
          <w:sz w:val="22"/>
        </w:rPr>
        <w:t xml:space="preserve"> — valid dates, correctly formatted.</w:t>
      </w:r>
    </w:p>
    <w:p>
      <w:pPr>
        <w:spacing w:before="280" w:after="120"/>
        <w:rPr>
          <w:sz w:val="28"/>
          <w:b/>
        </w:rPr>
      </w:pPr>
      <w:r>
        <w:rPr>
          <w:sz w:val="28"/>
          <w:b/>
        </w:rPr>
        <w:t xml:space="preserve">Impact</w:t>
      </w:r>
    </w:p>
    <w:p>
      <w:pPr>
        <w:spacing w:before="0" w:after="120"/>
        <w:rPr>
          <w:sz w:val="22"/>
        </w:rPr>
      </w:pPr>
      <w:r>
        <w:rPr>
          <w:sz w:val="22"/>
        </w:rPr>
        <w:t xml:space="preserve">A quarter of the year. This is the highest-value defect in the set because it is invisible on screen, it affects every gateway, and it arrives on a date rather than on an action — nobody will be testing when it starts.</w:t>
      </w:r>
    </w:p>
    <w:p>
      <w:pPr>
        <w:spacing w:before="280" w:after="120"/>
        <w:rPr>
          <w:sz w:val="28"/>
          <w:b/>
        </w:rPr>
      </w:pPr>
      <w:r>
        <w:rPr>
          <w:sz w:val="28"/>
          <w:b/>
        </w:rPr>
        <w:t xml:space="preserve">Notes for the developer</w:t>
      </w:r>
    </w:p>
    <w:p>
      <w:pPr>
        <w:spacing w:before="0" w:after="120"/>
        <w:rPr>
          <w:sz w:val="22"/>
        </w:rPr>
      </w:pPr>
      <w:r>
        <w:rPr>
          <w:sz w:val="22"/>
        </w:rPr>
        <w:t xml:space="preserve">Pad the month rather than prefixing a fixed </w:t>
      </w:r>
      <w:r>
        <w:rPr>
          <w:sz w:val="22"/>
          <w:rFonts w:ascii="Consolas" w:hAnsi="Consolas"/>
          <w:sz w:val="20"/>
        </w:rPr>
        <w:t xml:space="preserve">0</w:t>
      </w:r>
      <w:r>
        <w:rPr>
          <w:sz w:val="22"/>
        </w:rPr>
        <w:t xml:space="preserve">. The day needs the same treatment, as December shows.</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s>
</file>