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200"/>
        <w:rPr>
          <w:sz w:val="36"/>
          <w:b/>
        </w:rPr>
      </w:pPr>
      <w:r>
        <w:rPr>
          <w:sz w:val="36"/>
          <w:b/>
        </w:rPr>
        <w:t xml:space="preserve">Payment Stats — defects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Module:</w:t>
      </w:r>
      <w:r>
        <w:rPr>
          <w:sz w:val="22"/>
        </w:rPr>
        <w:t xml:space="preserve"> Payment Analytics → Payment Stats </w:t>
      </w:r>
      <w:r>
        <w:rPr>
          <w:sz w:val="22"/>
          <w:b/>
        </w:rPr>
        <w:t xml:space="preserve">Environment:</w:t>
      </w:r>
      <w:r>
        <w:rPr>
          <w:sz w:val="22"/>
        </w:rPr>
        <w:t xml:space="preserve"> QA — </w:t>
      </w:r>
      <w:r>
        <w:rPr>
          <w:sz w:val="22"/>
          <w:rFonts w:ascii="Consolas" w:hAnsi="Consolas"/>
          <w:sz w:val="20"/>
        </w:rPr>
        <w:t xml:space="preserve">https://qagps.tillipay.com/portal/paymentstats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r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/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Test case</w:t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Defect</w:t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Gateways seen on</w:t>
            </w:r>
          </w:p>
        </w:tc>
      </w:tr>
      <w:tr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PS-LOAD-10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Switching sub-merchant does not reload the stats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all gateways</w:t>
            </w:r>
          </w:p>
        </w:tc>
      </w:tr>
    </w:tbl>
    <w:p>
      <w:pPr>
        <w:spacing w:after="120"/>
      </w:pPr>
    </w:p>
    <w:p>
      <w:pPr>
        <w:spacing w:before="0" w:after="120"/>
        <w:rPr>
          <w:sz w:val="22"/>
        </w:rPr>
      </w:pPr>
      <w:r>
        <w:rPr>
          <w:sz w:val="22"/>
        </w:rPr>
        <w:t xml:space="preserve">Defects in the Prepare Query panel are written up separately, in </w:t>
      </w:r>
      <w:r>
        <w:rPr>
          <w:sz w:val="22"/>
          <w:rFonts w:ascii="Consolas" w:hAnsi="Consolas"/>
          <w:sz w:val="20"/>
        </w:rPr>
        <w:t xml:space="preserve">PrepareQuery_Bugs.docx</w:t>
      </w:r>
      <w:r>
        <w:rPr>
          <w:sz w:val="22"/>
        </w:rPr>
        <w:t xml:space="preserve">.</w:t>
      </w:r>
    </w:p>
    <w:p>
      <w:pPr>
        <w:spacing w:before="0" w:after="200"/>
        <w:rPr>
          <w:sz w:val="36"/>
          <w:b/>
        </w:rPr>
      </w:pPr>
      <w:r>
        <w:rPr>
          <w:sz w:val="36"/>
          <w:b/>
        </w:rPr>
        <w:t xml:space="preserve">1. PS-LOAD-10 — switching sub-merchant does not reload the stats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Test case:</w:t>
      </w:r>
      <w:r>
        <w:rPr>
          <w:sz w:val="22"/>
        </w:rPr>
        <w:t xml:space="preserve"> PS-LOAD-10 </w:t>
      </w:r>
      <w:r>
        <w:rPr>
          <w:sz w:val="22"/>
          <w:b/>
        </w:rPr>
        <w:t xml:space="preserve">Priority:</w:t>
      </w:r>
      <w:r>
        <w:rPr>
          <w:sz w:val="22"/>
        </w:rPr>
        <w:t xml:space="preserve"> High </w:t>
      </w:r>
      <w:r>
        <w:rPr>
          <w:sz w:val="22"/>
          <w:b/>
        </w:rPr>
        <w:t xml:space="preserve">Gateways seen on:</w:t>
      </w:r>
      <w:r>
        <w:rPr>
          <w:sz w:val="22"/>
        </w:rPr>
        <w:t xml:space="preserve"> all gateways — measured on IPG and SnapPay </w:t>
      </w:r>
      <w:r>
        <w:rPr>
          <w:sz w:val="22"/>
          <w:b/>
        </w:rPr>
        <w:t xml:space="preserve">Date observed:</w:t>
      </w:r>
      <w:r>
        <w:rPr>
          <w:sz w:val="22"/>
        </w:rPr>
        <w:t xml:space="preserve"> 16 and 23 September 2026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Summary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A merchant account can hold several sub-merchants, each with its own payments, chosen from the selector at the top of the portal.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Changing that selector updates the name on screen but does not refetch. The table and the graph keep showing the previous sub-merchant's figures, with nothing to indicate they are stale. The merchant is told they are looking at one sub-merchant while being shown another's numbers.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Steps to reproduce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1. Sign in as a merchant with at least two sub-merchants. 2. Go to </w:t>
      </w:r>
      <w:r>
        <w:rPr>
          <w:sz w:val="22"/>
          <w:b/>
        </w:rPr>
        <w:t xml:space="preserve">Payment Analytics → Payment Stats</w:t>
      </w:r>
      <w:r>
        <w:rPr>
          <w:sz w:val="22"/>
        </w:rPr>
        <w:t xml:space="preserve"> from the sidebar. 3. Note the figures in the table. 4. Open the sub-merchant selector at the top of the page and choose a different one. 5. Watch the refresh icon beside the </w:t>
      </w:r>
      <w:r>
        <w:rPr>
          <w:sz w:val="22"/>
          <w:b/>
        </w:rPr>
        <w:t xml:space="preserve">Payment Stats</w:t>
      </w:r>
      <w:r>
        <w:rPr>
          <w:sz w:val="22"/>
        </w:rPr>
        <w:t xml:space="preserve"> heading — it spins while a request is in flight, so it is the on-screen indicator that the page is fetching. 6. Compare the table and the graph against what was noted in step 3.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Expected result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Changing sub-merchant refetches and redraws both the table and the graph for the newly chosen sub-merchant.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Actual result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Nothing reloads. The refresh icon does not spin, the table keeps the previous figures and the graph is unchanged.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Measured on IPG on 16 September, watching the network: switching from </w:t>
      </w:r>
      <w:r>
        <w:rPr>
          <w:sz w:val="22"/>
          <w:rFonts w:ascii="Consolas" w:hAnsi="Consolas"/>
          <w:sz w:val="20"/>
        </w:rPr>
        <w:t xml:space="preserve">44052731</w:t>
      </w:r>
      <w:r>
        <w:rPr>
          <w:sz w:val="22"/>
        </w:rPr>
        <w:t xml:space="preserve"> to </w:t>
      </w:r>
      <w:r>
        <w:rPr>
          <w:sz w:val="22"/>
          <w:rFonts w:ascii="Consolas" w:hAnsi="Consolas"/>
          <w:sz w:val="20"/>
        </w:rPr>
        <w:t xml:space="preserve">44052728</w:t>
      </w:r>
      <w:r>
        <w:rPr>
          <w:sz w:val="22"/>
        </w:rPr>
        <w:t xml:space="preserve"> changed the dropdown and the hidden input behind it, and sent </w:t>
      </w:r>
      <w:r>
        <w:rPr>
          <w:sz w:val="22"/>
          <w:b/>
        </w:rPr>
        <w:t xml:space="preserve">zero</w:t>
      </w:r>
      <w:r>
        <w:rPr>
          <w:sz w:val="22"/>
        </w:rPr>
        <w:t xml:space="preserve"> </w:t>
      </w:r>
      <w:r>
        <w:rPr>
          <w:sz w:val="22"/>
          <w:rFonts w:ascii="Consolas" w:hAnsi="Consolas"/>
          <w:sz w:val="20"/>
        </w:rPr>
        <w:t xml:space="preserve">payment_stats_us</w:t>
      </w:r>
      <w:r>
        <w:rPr>
          <w:sz w:val="22"/>
        </w:rPr>
        <w:t xml:space="preserve"> requests.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Evidence</w:t>
      </w:r>
    </w:p>
    <w:p>
      <w:pPr>
        <w:spacing w:before="240" w:after="100"/>
        <w:rPr>
          <w:sz w:val="24"/>
          <w:b/>
        </w:rPr>
      </w:pPr>
      <w:r>
        <w:rPr>
          <w:sz w:val="24"/>
          <w:b/>
        </w:rPr>
        <w:t xml:space="preserve">Before the switch — sub-merchant 989510541880</w:t>
      </w:r>
    </w:p>
    <w:p>
      <w:pPr>
        <w:spacing w:before="80" w:after="200"/>
      </w:pPr>
      <w:r>
        <w:drawing>
          <wp:inline distT="0" distB="0" distL="0" distR="0">
            <wp:extent cx="5943600" cy="3343275"/>
            <wp:docPr id="100" name="Picture 10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SnapPay, 18:54. The selector reads </w:t>
      </w:r>
      <w:r>
        <w:rPr>
          <w:sz w:val="22"/>
          <w:rFonts w:ascii="Consolas" w:hAnsi="Consolas"/>
          <w:sz w:val="20"/>
        </w:rPr>
        <w:t xml:space="preserve">989510541880</w:t>
      </w:r>
      <w:r>
        <w:rPr>
          <w:sz w:val="22"/>
        </w:rPr>
        <w:t xml:space="preserve">. The table shows six CardSale rows — $5.00/3, $6.00/1, $7.00/2, $8.00/2, $9.00/2 and $10.00/54.</w:t>
      </w:r>
    </w:p>
    <w:p>
      <w:pPr>
        <w:spacing w:before="240" w:after="100"/>
        <w:rPr>
          <w:sz w:val="24"/>
          <w:b/>
        </w:rPr>
      </w:pPr>
      <w:r>
        <w:rPr>
          <w:sz w:val="24"/>
          <w:b/>
        </w:rPr>
        <w:t xml:space="preserve">After the switch — sub-merchant SnapPayICADummy</w:t>
      </w:r>
    </w:p>
    <w:p>
      <w:pPr>
        <w:spacing w:before="80" w:after="200"/>
      </w:pPr>
      <w:r>
        <w:drawing>
          <wp:inline distT="0" distB="0" distL="0" distR="0">
            <wp:extent cx="5943600" cy="3343275"/>
            <wp:docPr id="101" name="Picture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One minute later. The selector now reads </w:t>
      </w:r>
      <w:r>
        <w:rPr>
          <w:sz w:val="22"/>
          <w:rFonts w:ascii="Consolas" w:hAnsi="Consolas"/>
          <w:sz w:val="20"/>
        </w:rPr>
        <w:t xml:space="preserve">SnapPayICADummy</w:t>
      </w:r>
      <w:r>
        <w:rPr>
          <w:sz w:val="22"/>
        </w:rPr>
        <w:t xml:space="preserve">, a different sub-merchant entirely. Every row below is identical — the same six amounts, the same fees, the same counts including the 54.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Two different sub-merchants cannot have byte-identical figures by coincidence. The page never went and asked.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What pins the cause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After switching, change a date and press </w:t>
      </w:r>
      <w:r>
        <w:rPr>
          <w:sz w:val="22"/>
          <w:b/>
        </w:rPr>
        <w:t xml:space="preserve">Submit</w:t>
      </w:r>
      <w:r>
        <w:rPr>
          <w:sz w:val="22"/>
        </w:rPr>
        <w:t xml:space="preserve">. A request does fire, and it carries the </w:t>
      </w:r>
      <w:r>
        <w:rPr>
          <w:sz w:val="22"/>
          <w:b/>
        </w:rPr>
        <w:t xml:space="preserve">new</w:t>
      </w:r>
      <w:r>
        <w:rPr>
          <w:sz w:val="22"/>
        </w:rPr>
        <w:t xml:space="preserve"> </w:t>
      </w:r>
      <w:r>
        <w:rPr>
          <w:sz w:val="22"/>
          <w:rFonts w:ascii="Consolas" w:hAnsi="Consolas"/>
          <w:sz w:val="20"/>
        </w:rPr>
        <w:t xml:space="preserve">sub_merchant_id</w:t>
      </w:r>
      <w:r>
        <w:rPr>
          <w:sz w:val="22"/>
        </w:rPr>
        <w:t xml:space="preserve"> and returns different figures.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That proves the switch stored the new value correctly. The selector writes the id and nothing tells the page to fetch with it, so only the refetch is missing.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Impact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Silently wrong data, which is worse than an obvious failure. A merchant with several sub-merchants can switch, read the table and act on the wrong sub-merchant's figures. There is no error, no empty state and no stale-data warning — just confident, incorrect numbers.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Workaround:</w:t>
      </w:r>
      <w:r>
        <w:rPr>
          <w:sz w:val="22"/>
        </w:rPr>
        <w:t xml:space="preserve"> after switching, change a date and press Submit, or reload the page.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Notes for the developer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The store is updated correctly; only the refetch that should follow it is missing.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The same refetch already happens on Submit and on the refresh icon, so the call exists — it just is not triggered by the sub-merchant change.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Worth checking the graph as well as the table: both are drawn from the same fetch, so both stay stale.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00" Type="http://schemas.openxmlformats.org/officeDocument/2006/relationships/image" Target="media/before-switch-989510541880.png"/><Relationship Id="rId101" Type="http://schemas.openxmlformats.org/officeDocument/2006/relationships/image" Target="media/after-switch-snappayicadummy.png"/></Relationships>
</file>