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8</w:t>
            </w:r>
          </w:p>
        </w:tc>
        <w:tc>
          <w:tcPr>
            <w:tcW w:w="1872" w:type="dxa"/>
          </w:tcPr>
          <w:p>
            <w:pPr>
              <w:spacing w:before="40" w:after="40"/>
            </w:pPr>
            <w:r>
              <w:rPr>
                <w:sz w:val="20"/>
              </w:rPr>
              <w:t xml:space="preserve">PS-GR-06</w:t>
            </w:r>
          </w:p>
        </w:tc>
        <w:tc>
          <w:tcPr>
            <w:tcW w:w="1872" w:type="dxa"/>
          </w:tcPr>
          <w:p>
            <w:pPr>
              <w:spacing w:before="40" w:after="40"/>
            </w:pPr>
            <w:r>
              <w:rPr>
                <w:sz w:val="20"/>
              </w:rPr>
              <w:t xml:space="preserve">The graph counts fewer card payments than the query table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9</w:t>
            </w:r>
          </w:p>
        </w:tc>
        <w:tc>
          <w:tcPr>
            <w:tcW w:w="1872" w:type="dxa"/>
          </w:tcPr>
          <w:p>
            <w:pPr>
              <w:spacing w:before="40" w:after="40"/>
            </w:pPr>
            <w:r>
              <w:rPr>
                <w:sz w:val="20"/>
              </w:rPr>
              <w:t xml:space="preserve">PS-NEG-12</w:t>
            </w:r>
          </w:p>
        </w:tc>
        <w:tc>
          <w:tcPr>
            <w:tcW w:w="1872" w:type="dxa"/>
          </w:tcPr>
          <w:p>
            <w:pPr>
              <w:spacing w:before="40" w:after="40"/>
            </w:pPr>
            <w:r>
              <w:rPr>
                <w:sz w:val="20"/>
              </w:rPr>
              <w:t xml:space="preserve">From 1 October the page shows all zeros, with no warning</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10</w:t>
            </w:r>
          </w:p>
        </w:tc>
        <w:tc>
          <w:tcPr>
            <w:tcW w:w="1872" w:type="dxa"/>
          </w:tcPr>
          <w:p>
            <w:pPr>
              <w:spacing w:before="40" w:after="40"/>
            </w:pPr>
            <w:r>
              <w:rPr>
                <w:sz w:val="20"/>
              </w:rPr>
              <w:t xml:space="preserve">PS-SUB-01</w:t>
            </w:r>
          </w:p>
        </w:tc>
        <w:tc>
          <w:tcPr>
            <w:tcW w:w="1872" w:type="dxa"/>
          </w:tcPr>
          <w:p>
            <w:pPr>
              <w:spacing w:before="40" w:after="40"/>
            </w:pPr>
            <w:r>
              <w:rPr>
                <w:sz w:val="20"/>
              </w:rPr>
              <w:t xml:space="preserve">Submit runs with no start date and returns figures for an unknown period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11</w:t>
            </w:r>
          </w:p>
        </w:tc>
        <w:tc>
          <w:tcPr>
            <w:tcW w:w="1872" w:type="dxa"/>
          </w:tcPr>
          <w:p>
            <w:pPr>
              <w:spacing w:before="40" w:after="40"/>
            </w:pPr>
            <w:r>
              <w:rPr>
                <w:sz w:val="20"/>
              </w:rPr>
              <w:t xml:space="preserve">PS-SUB-07</w:t>
            </w:r>
          </w:p>
        </w:tc>
        <w:tc>
          <w:tcPr>
            <w:tcW w:w="1872" w:type="dxa"/>
          </w:tcPr>
          <w:p>
            <w:pPr>
              <w:spacing w:before="40" w:after="40"/>
            </w:pPr>
            <w:r>
              <w:rPr>
                <w:sz w:val="20"/>
              </w:rPr>
              <w:t xml:space="preserve">Every request carries the same identifier, so calls cannot be told apart</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p>
      <w:pPr>
        <w:spacing w:before="0" w:after="200"/>
        <w:rPr>
          <w:sz w:val="36"/>
          <w:b/>
        </w:rPr>
      </w:pPr>
      <w:r>
        <w:rPr>
          <w:sz w:val="36"/>
          <w:b/>
        </w:rPr>
        <w:t xml:space="preserve">8. PS-GR-06 — the graph counts fewer card payments than the query table</w:t>
      </w:r>
    </w:p>
    <w:p>
      <w:pPr>
        <w:spacing w:before="0" w:after="120"/>
        <w:rPr>
          <w:sz w:val="22"/>
        </w:rPr>
      </w:pPr>
      <w:r>
        <w:rPr>
          <w:sz w:val="22"/>
          <w:b/>
        </w:rPr>
        <w:t xml:space="preserve">Test case:</w:t>
      </w:r>
      <w:r>
        <w:rPr>
          <w:sz w:val="22"/>
        </w:rPr>
        <w:t xml:space="preserve"> PS-GR-06 </w:t>
      </w:r>
      <w:r>
        <w:rPr>
          <w:sz w:val="22"/>
          <w:b/>
        </w:rPr>
        <w:t xml:space="preserve">Priority:</w:t>
      </w:r>
      <w:r>
        <w:rPr>
          <w:sz w:val="22"/>
        </w:rPr>
        <w:t xml:space="preserve"> High </w:t>
      </w:r>
      <w:r>
        <w:rPr>
          <w:sz w:val="22"/>
          <w:b/>
        </w:rPr>
        <w:t xml:space="preserve">Gateways:</w:t>
      </w:r>
      <w:r>
        <w:rPr>
          <w:sz w:val="22"/>
        </w:rPr>
        <w:t xml:space="preserve"> BillPay (the only gateway that can run this check) </w:t>
      </w:r>
      <w:r>
        <w:rPr>
          <w:sz w:val="22"/>
          <w:b/>
        </w:rPr>
        <w:t xml:space="preserve">Date observed:</w:t>
      </w:r>
      <w:r>
        <w:rPr>
          <w:sz w:val="22"/>
        </w:rPr>
        <w:t xml:space="preserve"> 21 September 2026, re-confirmed by hand 24 September 2026, 19:41</w:t>
      </w:r>
    </w:p>
    <w:p>
      <w:pPr>
        <w:spacing w:before="0" w:after="120"/>
        <w:rPr>
          <w:sz w:val="22"/>
        </w:rPr>
      </w:pP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Account:</w:t>
      </w:r>
      <w:r>
        <w:rPr>
          <w:sz w:val="22"/>
        </w:rPr>
        <w:t xml:space="preserve"> the WGL / BillPay QA merchant, </w:t>
      </w:r>
      <w:r>
        <w:rPr>
          <w:sz w:val="22"/>
          <w:rFonts w:ascii="Consolas" w:hAnsi="Consolas"/>
          <w:sz w:val="20"/>
        </w:rPr>
        <w:t xml:space="preserve">ramamuraria+wgl@tilli.pro</w:t>
      </w:r>
      <w:r>
        <w:rPr>
          <w:sz w:val="22"/>
        </w:rPr>
        <w:t xml:space="preserve"> </w:t>
      </w:r>
      <w:r>
        <w:rPr>
          <w:sz w:val="22"/>
          <w:b/>
        </w:rPr>
        <w:t xml:space="preserve">Range used:</w:t>
      </w:r>
      <w:r>
        <w:rPr>
          <w:sz w:val="22"/>
        </w:rPr>
        <w:t xml:space="preserve"> </w:t>
      </w:r>
      <w:r>
        <w:rPr>
          <w:sz w:val="22"/>
          <w:rFonts w:ascii="Consolas" w:hAnsi="Consolas"/>
          <w:sz w:val="20"/>
        </w:rPr>
        <w:t xml:space="preserve">06/26/2026 12:00 AM</w:t>
      </w:r>
      <w:r>
        <w:rPr>
          <w:sz w:val="22"/>
        </w:rPr>
        <w:t xml:space="preserve"> to </w:t>
      </w:r>
      <w:r>
        <w:rPr>
          <w:sz w:val="22"/>
          <w:rFonts w:ascii="Consolas" w:hAnsi="Consolas"/>
          <w:sz w:val="20"/>
        </w:rPr>
        <w:t xml:space="preserve">09/24/2026 07:41 PM</w:t>
      </w:r>
      <w:r>
        <w:rPr>
          <w:sz w:val="22"/>
        </w:rPr>
        <w:t xml:space="preserve">, timezone UTC, Live Mode </w:t>
      </w:r>
      <w:r>
        <w:rPr>
          <w:sz w:val="22"/>
          <w:b/>
        </w:rPr>
        <w:t xml:space="preserve">Automated test:</w:t>
      </w:r>
      <w:r>
        <w:rPr>
          <w:sz w:val="22"/>
        </w:rPr>
        <w:t xml:space="preserve"> </w:t>
      </w:r>
      <w:r>
        <w:rPr>
          <w:sz w:val="22"/>
          <w:rFonts w:ascii="Consolas" w:hAnsi="Consolas"/>
          <w:sz w:val="20"/>
        </w:rPr>
        <w:t xml:space="preserve">Payment Stats graph split matches the query totals @PS-GR-06</w:t>
      </w:r>
      <w:r>
        <w:rPr>
          <w:sz w:val="22"/>
        </w:rPr>
        <w:t xml:space="preserve"> in </w:t>
      </w:r>
      <w:r>
        <w:rPr>
          <w:sz w:val="22"/>
          <w:rFonts w:ascii="Consolas" w:hAnsi="Consolas"/>
          <w:sz w:val="20"/>
        </w:rPr>
        <w:t xml:space="preserve">tests/customer/payment-analytics/payment-analytics.spec.ts</w:t>
      </w:r>
      <w:r>
        <w:rPr>
          <w:sz w:val="22"/>
        </w:rPr>
        <w:t xml:space="preserve">. It is marked expected-fail, so it turns red the day this is fixed.</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query table describe the same payments over the same dates. They give different numbers.</w:t>
      </w:r>
    </w:p>
    <w:p>
      <w:pPr>
        <w:spacing w:before="0" w:after="120"/>
        <w:rPr>
          <w:sz w:val="22"/>
        </w:rPr>
      </w:pPr>
      <w:r>
        <w:rPr>
          <w:sz w:val="22"/>
        </w:rPr>
        <w:t xml:space="preserve">The ACH figure agrees. The card figure does not. The graph draws fewer card payments than the table counts.</w:t>
      </w:r>
    </w:p>
    <w:p>
      <w:pPr>
        <w:spacing w:before="0" w:after="120"/>
        <w:rPr>
          <w:sz w:val="22"/>
        </w:rPr>
      </w:pPr>
      <w:r>
        <w:rPr>
          <w:sz w:val="22"/>
        </w:rPr>
        <w:t xml:space="preserve">On the run below the table counts 117 card payments. The graph is drawing 114. Three payments are missing from the graph.</w:t>
      </w:r>
    </w:p>
    <w:p>
      <w:pPr>
        <w:spacing w:before="280" w:after="120"/>
        <w:rPr>
          <w:sz w:val="28"/>
          <w:b/>
        </w:rPr>
      </w:pPr>
      <w:r>
        <w:rPr>
          <w:sz w:val="28"/>
          <w:b/>
        </w:rPr>
        <w:t xml:space="preserve">Steps to reproduce</w:t>
      </w:r>
    </w:p>
    <w:p>
      <w:pPr>
        <w:spacing w:before="0" w:after="120"/>
        <w:rPr>
          <w:sz w:val="22"/>
        </w:rPr>
      </w:pPr>
      <w:r>
        <w:rPr>
          <w:sz w:val="22"/>
        </w:rPr>
        <w:t xml:space="preserve">1. Sign in as the </w:t>
      </w:r>
      <w:r>
        <w:rPr>
          <w:sz w:val="22"/>
          <w:b/>
        </w:rPr>
        <w:t xml:space="preserve">BillPay</w:t>
      </w:r>
      <w:r>
        <w:rPr>
          <w:sz w:val="22"/>
        </w:rPr>
        <w:t xml:space="preserve"> merchant. Open </w:t>
      </w:r>
      <w:r>
        <w:rPr>
          <w:sz w:val="22"/>
          <w:b/>
        </w:rPr>
        <w:t xml:space="preserve">Payment Analytics → Payment Stats</w:t>
      </w:r>
      <w:r>
        <w:rPr>
          <w:sz w:val="22"/>
        </w:rPr>
        <w:t xml:space="preserve">. 2. Set </w:t>
      </w:r>
      <w:r>
        <w:rPr>
          <w:sz w:val="22"/>
          <w:b/>
        </w:rPr>
        <w:t xml:space="preserve">From Date</w:t>
      </w:r>
      <w:r>
        <w:rPr>
          <w:sz w:val="22"/>
        </w:rPr>
        <w:t xml:space="preserve"> to </w:t>
      </w:r>
      <w:r>
        <w:rPr>
          <w:sz w:val="22"/>
          <w:rFonts w:ascii="Consolas" w:hAnsi="Consolas"/>
          <w:sz w:val="20"/>
        </w:rPr>
        <w:t xml:space="preserve">06/26/2026 12:00 AM</w:t>
      </w:r>
      <w:r>
        <w:rPr>
          <w:sz w:val="22"/>
        </w:rPr>
        <w:t xml:space="preserve"> and leave </w:t>
      </w:r>
      <w:r>
        <w:rPr>
          <w:sz w:val="22"/>
          <w:b/>
        </w:rPr>
        <w:t xml:space="preserve">To Date</w:t>
      </w:r>
      <w:r>
        <w:rPr>
          <w:sz w:val="22"/>
        </w:rPr>
        <w:t xml:space="preserve"> at the current time. A 90-day range is needed. See the note below about shorter ranges. 3. Press </w:t>
      </w:r>
      <w:r>
        <w:rPr>
          <w:sz w:val="22"/>
          <w:b/>
        </w:rPr>
        <w:t xml:space="preserve">Submit</w:t>
      </w:r>
      <w:r>
        <w:rPr>
          <w:sz w:val="22"/>
        </w:rPr>
        <w:t xml:space="preserve"> and wait for the table. 4. Expand </w:t>
      </w:r>
      <w:r>
        <w:rPr>
          <w:sz w:val="22"/>
          <w:b/>
        </w:rPr>
        <w:t xml:space="preserve">Prepare Query</w:t>
      </w:r>
      <w:r>
        <w:rPr>
          <w:sz w:val="22"/>
        </w:rPr>
        <w:t xml:space="preserve">. 5. In </w:t>
      </w:r>
      <w:r>
        <w:rPr>
          <w:sz w:val="22"/>
          <w:b/>
        </w:rPr>
        <w:t xml:space="preserve">Select</w:t>
      </w:r>
      <w:r>
        <w:rPr>
          <w:sz w:val="22"/>
        </w:rPr>
        <w:t xml:space="preserve">, remove every chip except </w:t>
      </w:r>
      <w:r>
        <w:rPr>
          <w:sz w:val="22"/>
          <w:b/>
        </w:rPr>
        <w:t xml:space="preserve">Funding Method</w:t>
      </w:r>
      <w:r>
        <w:rPr>
          <w:sz w:val="22"/>
        </w:rPr>
        <w:t xml:space="preserve">. Do the same in </w:t>
      </w:r>
      <w:r>
        <w:rPr>
          <w:sz w:val="22"/>
          <w:b/>
        </w:rPr>
        <w:t xml:space="preserve">Group</w:t>
      </w:r>
      <w:r>
        <w:rPr>
          <w:sz w:val="22"/>
        </w:rPr>
        <w:t xml:space="preserve">. This collapses the breakdown into one row per funding method, so the counts can be read directly instead of being added up across dozens of rows. 6. Press </w:t>
      </w:r>
      <w:r>
        <w:rPr>
          <w:sz w:val="22"/>
          <w:b/>
        </w:rPr>
        <w:t xml:space="preserve">Execute</w:t>
      </w:r>
      <w:r>
        <w:rPr>
          <w:sz w:val="22"/>
        </w:rPr>
        <w:t xml:space="preserve">. 7. Add the Count column: the ACH row on its own, and every other row together. 8. Scroll down to </w:t>
      </w:r>
      <w:r>
        <w:rPr>
          <w:sz w:val="22"/>
          <w:b/>
        </w:rPr>
        <w:t xml:space="preserve">Payment Statistics</w:t>
      </w:r>
      <w:r>
        <w:rPr>
          <w:sz w:val="22"/>
        </w:rPr>
        <w:t xml:space="preserve"> and read the two percentages. 9. Work out the table's own ACH share and compare it with the graph's.</w:t>
      </w:r>
    </w:p>
    <w:p>
      <w:pPr>
        <w:spacing w:before="280" w:after="120"/>
        <w:rPr>
          <w:sz w:val="28"/>
          <w:b/>
        </w:rPr>
      </w:pPr>
      <w:r>
        <w:rPr>
          <w:sz w:val="28"/>
          <w:b/>
        </w:rPr>
        <w:t xml:space="preserve">Why the range matters</w:t>
      </w:r>
    </w:p>
    <w:p>
      <w:pPr>
        <w:spacing w:before="0" w:after="120"/>
        <w:rPr>
          <w:sz w:val="22"/>
        </w:rPr>
      </w:pPr>
      <w:r>
        <w:rPr>
          <w:sz w:val="22"/>
        </w:rPr>
        <w:t xml:space="preserve">On a 30-day range the two views </w:t>
      </w:r>
      <w:r>
        <w:rPr>
          <w:sz w:val="22"/>
          <w:b/>
        </w:rPr>
        <w:t xml:space="preserve">agree exactly</w:t>
      </w:r>
      <w:r>
        <w:rPr>
          <w:sz w:val="22"/>
        </w:rPr>
        <w:t xml:space="preserve">. Checked by hand on 24 September: the table counted 40 ACH and 46 card, and the graph drew 46.51 % and 53.49 %, matching to the decimal.</w:t>
      </w:r>
    </w:p>
    <w:p>
      <w:pPr>
        <w:spacing w:before="0" w:after="120"/>
        <w:rPr>
          <w:sz w:val="22"/>
        </w:rPr>
      </w:pPr>
      <w:r>
        <w:rPr>
          <w:sz w:val="22"/>
        </w:rPr>
        <w:t xml:space="preserve">Anyone reproducing this on the default range will conclude there is no defect. Use 90 days, or any range that contains an AppleSale or PULSE payment.</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over the same range, so they must agree. The share the table works out to is the share the graph draws.</w:t>
      </w:r>
    </w:p>
    <w:p>
      <w:pPr>
        <w:spacing w:before="280" w:after="120"/>
        <w:rPr>
          <w:sz w:val="28"/>
          <w:b/>
        </w:rPr>
      </w:pPr>
      <w:r>
        <w:rPr>
          <w:sz w:val="28"/>
          <w:b/>
        </w:rPr>
        <w:t xml:space="preserve">Actual result</w:t>
      </w:r>
    </w:p>
    <w:p>
      <w:pPr>
        <w:spacing w:before="0" w:after="120"/>
        <w:rPr>
          <w:sz w:val="22"/>
        </w:rPr>
      </w:pPr>
      <w:r>
        <w:rPr>
          <w:sz w:val="22"/>
        </w:rPr>
        <w:t xml:space="preserve">They disagree.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ACH</w:t>
            </w:r>
          </w:p>
        </w:tc>
        <w:tc>
          <w:tcPr>
            <w:tcW w:w="1872" w:type="dxa"/>
            <w:shd w:val="clear" w:fill="F2F2F2"/>
          </w:tcPr>
          <w:p>
            <w:pPr>
              <w:spacing w:before="40" w:after="40"/>
            </w:pPr>
            <w:r>
              <w:rPr>
                <w:sz w:val="20"/>
                <w:b/>
              </w:rPr>
              <w:t xml:space="preserve">Card</w:t>
            </w:r>
          </w:p>
        </w:tc>
        <w:tc>
          <w:tcPr>
            <w:tcW w:w="1872" w:type="dxa"/>
            <w:shd w:val="clear" w:fill="F2F2F2"/>
          </w:tcPr>
          <w:p>
            <w:pPr>
              <w:spacing w:before="40" w:after="40"/>
            </w:pPr>
            <w:r>
              <w:rPr>
                <w:sz w:val="20"/>
                <w:b/>
              </w:rPr>
              <w:t xml:space="preserve">Total</w:t>
            </w:r>
          </w:p>
        </w:tc>
        <w:tc>
          <w:tcPr>
            <w:tcW w:w="1872" w:type="dxa"/>
            <w:shd w:val="clear" w:fill="F2F2F2"/>
          </w:tcPr>
          <w:p>
            <w:pPr>
              <w:spacing w:before="40" w:after="40"/>
            </w:pPr>
            <w:r>
              <w:rPr>
                <w:sz w:val="20"/>
                <w:b/>
              </w:rPr>
              <w:t xml:space="preserve">ACH share</w:t>
            </w:r>
          </w:p>
        </w:tc>
      </w:tr>
      <w:tr>
        <w:tc>
          <w:tcPr>
            <w:tcW w:w="1872" w:type="dxa"/>
          </w:tcPr>
          <w:p>
            <w:pPr>
              <w:spacing w:before="40" w:after="40"/>
            </w:pPr>
            <w:r>
              <w:rPr>
                <w:sz w:val="20"/>
              </w:rPr>
              <w:t xml:space="preserve">Query table counts</w:t>
            </w:r>
          </w:p>
        </w:tc>
        <w:tc>
          <w:tcPr>
            <w:tcW w:w="1872" w:type="dxa"/>
          </w:tcPr>
          <w:p>
            <w:pPr>
              <w:spacing w:before="40" w:after="40"/>
            </w:pPr>
            <w:r>
              <w:rPr>
                <w:sz w:val="20"/>
              </w:rPr>
              <w:t xml:space="preserve">95</w:t>
            </w:r>
          </w:p>
        </w:tc>
        <w:tc>
          <w:tcPr>
            <w:tcW w:w="1872" w:type="dxa"/>
          </w:tcPr>
          <w:p>
            <w:pPr>
              <w:spacing w:before="40" w:after="40"/>
            </w:pPr>
            <w:r>
              <w:rPr>
                <w:sz w:val="20"/>
              </w:rPr>
              <w:t xml:space="preserve">117</w:t>
            </w:r>
          </w:p>
        </w:tc>
        <w:tc>
          <w:tcPr>
            <w:tcW w:w="1872" w:type="dxa"/>
          </w:tcPr>
          <w:p>
            <w:pPr>
              <w:spacing w:before="40" w:after="40"/>
            </w:pPr>
            <w:r>
              <w:rPr>
                <w:sz w:val="20"/>
              </w:rPr>
              <w:t xml:space="preserve">212</w:t>
            </w:r>
          </w:p>
        </w:tc>
        <w:tc>
          <w:tcPr>
            <w:tcW w:w="1872" w:type="dxa"/>
          </w:tcPr>
          <w:p>
            <w:pPr>
              <w:spacing w:before="40" w:after="40"/>
            </w:pPr>
            <w:r>
              <w:rPr>
                <w:sz w:val="20"/>
              </w:rPr>
              <w:t xml:space="preserve">44.81 %</w:t>
            </w:r>
          </w:p>
        </w:tc>
      </w:tr>
      <w:tr>
        <w:tc>
          <w:tcPr>
            <w:tcW w:w="1872" w:type="dxa"/>
          </w:tcPr>
          <w:p>
            <w:pPr>
              <w:spacing w:before="40" w:after="40"/>
            </w:pPr>
            <w:r>
              <w:rPr>
                <w:sz w:val="20"/>
              </w:rPr>
              <w:t xml:space="preserve">Graph is drawing</w:t>
            </w:r>
          </w:p>
        </w:tc>
        <w:tc>
          <w:tcPr>
            <w:tcW w:w="1872" w:type="dxa"/>
          </w:tcPr>
          <w:p>
            <w:pPr>
              <w:spacing w:before="40" w:after="40"/>
            </w:pPr>
            <w:r>
              <w:rPr>
                <w:sz w:val="20"/>
              </w:rPr>
              <w:t xml:space="preserve">95</w:t>
            </w:r>
          </w:p>
        </w:tc>
        <w:tc>
          <w:tcPr>
            <w:tcW w:w="1872" w:type="dxa"/>
          </w:tcPr>
          <w:p>
            <w:pPr>
              <w:spacing w:before="40" w:after="40"/>
            </w:pPr>
            <w:r>
              <w:rPr>
                <w:sz w:val="20"/>
              </w:rPr>
              <w:t xml:space="preserve">114</w:t>
            </w:r>
          </w:p>
        </w:tc>
        <w:tc>
          <w:tcPr>
            <w:tcW w:w="1872" w:type="dxa"/>
          </w:tcPr>
          <w:p>
            <w:pPr>
              <w:spacing w:before="40" w:after="40"/>
            </w:pPr>
            <w:r>
              <w:rPr>
                <w:sz w:val="20"/>
              </w:rPr>
              <w:t xml:space="preserve">209</w:t>
            </w:r>
          </w:p>
        </w:tc>
        <w:tc>
          <w:tcPr>
            <w:tcW w:w="1872" w:type="dxa"/>
          </w:tcPr>
          <w:p>
            <w:pPr>
              <w:spacing w:before="40" w:after="40"/>
            </w:pPr>
            <w:r>
              <w:rPr>
                <w:sz w:val="20"/>
              </w:rPr>
              <w:t xml:space="preserve">45.45 %</w:t>
            </w:r>
          </w:p>
        </w:tc>
      </w:tr>
    </w:tbl>
    <w:p>
      <w:pPr>
        <w:spacing w:after="120"/>
      </w:pPr>
    </w:p>
    <w:p>
      <w:pPr>
        <w:spacing w:before="0" w:after="120"/>
        <w:rPr>
          <w:sz w:val="22"/>
        </w:rPr>
      </w:pPr>
      <w:r>
        <w:rPr>
          <w:sz w:val="22"/>
        </w:rPr>
        <w:t xml:space="preserve">The ACH count is the same in both. The card count is three lower on the graph.</w:t>
      </w:r>
    </w:p>
    <w:p>
      <w:pPr>
        <w:spacing w:before="0" w:after="120"/>
        <w:rPr>
          <w:sz w:val="22"/>
        </w:rPr>
      </w:pPr>
      <w:r>
        <w:rPr>
          <w:sz w:val="22"/>
        </w:rPr>
        <w:t xml:space="preserve">Working back from the graph: it shows ACH at 45.45 %, and 95 ÷ 0.4545 gives 209 payments in total, which leaves 114 card. The table counts 117.</w:t>
      </w:r>
    </w:p>
    <w:p>
      <w:pPr>
        <w:spacing w:before="280" w:after="120"/>
        <w:rPr>
          <w:sz w:val="28"/>
          <w:b/>
        </w:rPr>
      </w:pPr>
      <w:r>
        <w:rPr>
          <w:sz w:val="28"/>
          <w:b/>
        </w:rPr>
        <w:t xml:space="preserve">Evidence</w:t>
      </w:r>
    </w:p>
    <w:p>
      <w:pPr>
        <w:spacing w:before="240" w:after="100"/>
        <w:rPr>
          <w:sz w:val="24"/>
          <w:b/>
        </w:rPr>
      </w:pPr>
      <w:r>
        <w:rPr>
          <w:sz w:val="24"/>
          <w:b/>
        </w:rPr>
        <w:t xml:space="preserve">What was run</w:t>
      </w:r>
    </w:p>
    <w:p>
      <w:pPr>
        <w:spacing w:before="80" w:after="200"/>
      </w:pPr>
      <w:r>
        <w:drawing>
          <wp:inline distT="0" distB="0" distL="0" distR="0">
            <wp:extent cx="5943600" cy="3343275"/>
            <wp:docPr id="114" name="Picture 114"/>
            <a:graphic xmlns:a="http://schemas.openxmlformats.org/drawingml/2006/main">
              <a:graphicData uri="http://schemas.openxmlformats.org/drawingml/2006/picture">
                <pic:pic xmlns:pic="http://schemas.openxmlformats.org/drawingml/2006/picture">
                  <pic:nvPicPr>
                    <pic:cNvPr id="114" name="Picture"/>
                    <pic:cNvPicPr/>
                  </pic:nvPicPr>
                  <pic:blipFill>
                    <a:blip r:embed="rId11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90-day range is boxed in orange. Select and Group hold only </w:t>
      </w:r>
      <w:r>
        <w:rPr>
          <w:sz w:val="22"/>
          <w:b/>
        </w:rPr>
        <w:t xml:space="preserve">Funding Method</w:t>
      </w:r>
      <w:r>
        <w:rPr>
          <w:sz w:val="22"/>
        </w:rPr>
        <w:t xml:space="preserve">, boxed in blue. Having is empty. Nothing is filtered — this is the whole range, grouped one way.</w:t>
      </w:r>
    </w:p>
    <w:p>
      <w:pPr>
        <w:spacing w:before="240" w:after="100"/>
        <w:rPr>
          <w:sz w:val="24"/>
          <w:b/>
        </w:rPr>
      </w:pPr>
      <w:r>
        <w:rPr>
          <w:sz w:val="24"/>
          <w:b/>
        </w:rPr>
        <w:t xml:space="preserve">The table and the graph, in one picture</w:t>
      </w:r>
    </w:p>
    <w:p>
      <w:pPr>
        <w:spacing w:before="80" w:after="200"/>
      </w:pPr>
      <w:r>
        <w:drawing>
          <wp:inline distT="0" distB="0" distL="0" distR="0">
            <wp:extent cx="5943600" cy="3343275"/>
            <wp:docPr id="115" name="Picture 115"/>
            <a:graphic xmlns:a="http://schemas.openxmlformats.org/drawingml/2006/main">
              <a:graphicData uri="http://schemas.openxmlformats.org/drawingml/2006/picture">
                <pic:pic xmlns:pic="http://schemas.openxmlformats.org/drawingml/2006/picture">
                  <pic:nvPicPr>
                    <pic:cNvPr id="115" name="Picture"/>
                    <pic:cNvPicPr/>
                  </pic:nvPicPr>
                  <pic:blipFill>
                    <a:blip r:embed="rId11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green box is the ACH count: </w:t>
      </w:r>
      <w:r>
        <w:rPr>
          <w:sz w:val="22"/>
          <w:b/>
        </w:rPr>
        <w:t xml:space="preserve">95</w:t>
      </w:r>
      <w:r>
        <w:rPr>
          <w:sz w:val="22"/>
        </w:rPr>
        <w:t xml:space="preserve">.</w:t>
      </w:r>
    </w:p>
    <w:p>
      <w:pPr>
        <w:spacing w:before="0" w:after="120"/>
        <w:rPr>
          <w:sz w:val="22"/>
        </w:rPr>
      </w:pPr>
      <w:r>
        <w:rPr>
          <w:sz w:val="22"/>
        </w:rPr>
        <w:t xml:space="preserve">The orange box is every card row: DISCOVER 21, MASTERCARD 45, PULSE 2, VISA 49. That is </w:t>
      </w:r>
      <w:r>
        <w:rPr>
          <w:sz w:val="22"/>
          <w:b/>
        </w:rPr>
        <w:t xml:space="preserve">117</w:t>
      </w:r>
      <w:r>
        <w:rPr>
          <w:sz w:val="22"/>
        </w:rPr>
        <w:t xml:space="preserve">.</w:t>
      </w:r>
    </w:p>
    <w:p>
      <w:pPr>
        <w:spacing w:before="0" w:after="120"/>
        <w:rPr>
          <w:sz w:val="22"/>
        </w:rPr>
      </w:pPr>
      <w:r>
        <w:rPr>
          <w:sz w:val="22"/>
        </w:rPr>
        <w:t xml:space="preserve">So the table holds 212 payments and ACH is 44.81 % of them.</w:t>
      </w:r>
    </w:p>
    <w:p>
      <w:pPr>
        <w:spacing w:before="0" w:after="120"/>
        <w:rPr>
          <w:sz w:val="22"/>
        </w:rPr>
      </w:pPr>
      <w:r>
        <w:rPr>
          <w:sz w:val="22"/>
        </w:rPr>
        <w:t xml:space="preserve">The red box at the bottom is the graph. It says ACH is </w:t>
      </w:r>
      <w:r>
        <w:rPr>
          <w:sz w:val="22"/>
          <w:b/>
        </w:rPr>
        <w:t xml:space="preserve">45.45 %</w:t>
      </w:r>
      <w:r>
        <w:rPr>
          <w:sz w:val="22"/>
        </w:rPr>
        <w:t xml:space="preserve">. For that to be true with 95 ACH payments there would have to be 209 payments in total — which means the graph is only counting 114 card payments, not 117.</w:t>
      </w:r>
    </w:p>
    <w:p>
      <w:pPr>
        <w:spacing w:before="0" w:after="120"/>
        <w:rPr>
          <w:sz w:val="22"/>
        </w:rPr>
      </w:pPr>
      <w:r>
        <w:rPr>
          <w:sz w:val="22"/>
        </w:rPr>
        <w:t xml:space="preserve">Both numbers are in the same picture, so there is nothing to line up between screenshots.</w:t>
      </w:r>
    </w:p>
    <w:p>
      <w:pPr>
        <w:spacing w:before="280" w:after="120"/>
        <w:rPr>
          <w:sz w:val="28"/>
          <w:b/>
        </w:rPr>
      </w:pPr>
      <w:r>
        <w:rPr>
          <w:sz w:val="28"/>
          <w:b/>
        </w:rPr>
        <w:t xml:space="preserve">What pins the cause</w:t>
      </w:r>
    </w:p>
    <w:p>
      <w:pPr>
        <w:spacing w:before="0" w:after="120"/>
        <w:rPr>
          <w:sz w:val="22"/>
        </w:rPr>
      </w:pPr>
      <w:r>
        <w:rPr>
          <w:sz w:val="22"/>
        </w:rPr>
        <w:t xml:space="preserve">The gap is exactly </w:t>
      </w:r>
      <w:r>
        <w:rPr>
          <w:sz w:val="22"/>
          <w:b/>
        </w:rPr>
        <w:t xml:space="preserve">three</w:t>
      </w:r>
      <w:r>
        <w:rPr>
          <w:sz w:val="22"/>
        </w:rPr>
        <w:t xml:space="preserve"> payments. Two rows in the detailed breakdown account for exactly three:</w:t>
      </w:r>
    </w:p>
    <w:p>
      <w:pPr>
        <w:spacing w:before="240" w:after="100"/>
        <w:rPr>
          <w:sz w:val="24"/>
          <w:b/>
        </w:rPr>
      </w:pPr>
      <w:r>
        <w:rPr>
          <w:sz w:val="24"/>
          <w:b/>
        </w:rPr>
        <w:t xml:space="preserve">A payment recorded as AppleSale</w:t>
      </w:r>
    </w:p>
    <w:p>
      <w:pPr>
        <w:spacing w:before="80" w:after="200"/>
      </w:pPr>
      <w:r>
        <w:drawing>
          <wp:inline distT="0" distB="0" distL="0" distR="0">
            <wp:extent cx="5943600" cy="3343275"/>
            <wp:docPr id="116" name="Picture 116"/>
            <a:graphic xmlns:a="http://schemas.openxmlformats.org/drawingml/2006/main">
              <a:graphicData uri="http://schemas.openxmlformats.org/drawingml/2006/picture">
                <pic:pic xmlns:pic="http://schemas.openxmlformats.org/drawingml/2006/picture">
                  <pic:nvPicPr>
                    <pic:cNvPr id="116" name="Picture"/>
                    <pic:cNvPicPr/>
                  </pic:nvPicPr>
                  <pic:blipFill>
                    <a:blip r:embed="rId11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MASTERCARD payment with the category </w:t>
      </w:r>
      <w:r>
        <w:rPr>
          <w:sz w:val="22"/>
          <w:b/>
        </w:rPr>
        <w:t xml:space="preserve">AppleSale</w:t>
      </w:r>
      <w:r>
        <w:rPr>
          <w:sz w:val="22"/>
        </w:rPr>
        <w:t xml:space="preserve"> rather than CreditSale or DebitSale.</w:t>
      </w:r>
    </w:p>
    <w:p>
      <w:pPr>
        <w:spacing w:before="240" w:after="100"/>
        <w:rPr>
          <w:sz w:val="24"/>
          <w:b/>
        </w:rPr>
      </w:pPr>
      <w:r>
        <w:rPr>
          <w:sz w:val="24"/>
          <w:b/>
        </w:rPr>
        <w:t xml:space="preserve">Two payments on the PULSE network</w:t>
      </w:r>
    </w:p>
    <w:p>
      <w:pPr>
        <w:spacing w:before="80" w:after="200"/>
      </w:pPr>
      <w:r>
        <w:drawing>
          <wp:inline distT="0" distB="0" distL="0" distR="0">
            <wp:extent cx="5943600" cy="3343275"/>
            <wp:docPr id="117" name="Picture 117"/>
            <a:graphic xmlns:a="http://schemas.openxmlformats.org/drawingml/2006/main">
              <a:graphicData uri="http://schemas.openxmlformats.org/drawingml/2006/picture">
                <pic:pic xmlns:pic="http://schemas.openxmlformats.org/drawingml/2006/picture">
                  <pic:nvPicPr>
                    <pic:cNvPr id="117" name="Picture"/>
                    <pic:cNvPicPr/>
                  </pic:nvPicPr>
                  <pic:blipFill>
                    <a:blip r:embed="rId11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Two payments with the funding method </w:t>
      </w:r>
      <w:r>
        <w:rPr>
          <w:sz w:val="22"/>
          <w:b/>
        </w:rPr>
        <w:t xml:space="preserve">PULSE</w:t>
      </w:r>
      <w:r>
        <w:rPr>
          <w:sz w:val="22"/>
        </w:rPr>
        <w:t xml:space="preserve">, a debit network rather than a card brand.</w:t>
      </w:r>
    </w:p>
    <w:p>
      <w:pPr>
        <w:spacing w:before="0" w:after="120"/>
        <w:rPr>
          <w:sz w:val="22"/>
        </w:rPr>
      </w:pPr>
      <w:r>
        <w:rPr>
          <w:sz w:val="22"/>
          <w:b/>
        </w:rPr>
        <w:t xml:space="preserve">1 + 2 = 3</w:t>
      </w:r>
      <w:r>
        <w:rPr>
          <w:sz w:val="22"/>
        </w:rPr>
        <w:t xml:space="preserve">, which is the gap exactly.</w:t>
      </w:r>
    </w:p>
    <w:p>
      <w:pPr>
        <w:spacing w:before="0" w:after="120"/>
        <w:rPr>
          <w:sz w:val="22"/>
        </w:rPr>
      </w:pPr>
      <w:r>
        <w:rPr>
          <w:sz w:val="22"/>
        </w:rPr>
        <w:t xml:space="preserve">This is a strong lead, not a proven cause. It suggests the graph decides what counts as a card payment from a fixed list of brands or categories, and anything outside that list is dropped. The query table has no such list — it reports whatever is there.</w:t>
      </w:r>
    </w:p>
    <w:p>
      <w:pPr>
        <w:spacing w:before="0" w:after="120"/>
        <w:rPr>
          <w:sz w:val="22"/>
        </w:rPr>
      </w:pPr>
      <w:r>
        <w:rPr>
          <w:sz w:val="22"/>
        </w:rPr>
        <w:t xml:space="preserve">It should be checked before it is believed. The arithmetic below is what is proven; the AppleSale and PULSE explanation is what should be looked at first.</w:t>
      </w:r>
    </w:p>
    <w:p>
      <w:pPr>
        <w:spacing w:before="280" w:after="120"/>
        <w:rPr>
          <w:sz w:val="28"/>
          <w:b/>
        </w:rPr>
      </w:pPr>
      <w:r>
        <w:rPr>
          <w:sz w:val="28"/>
          <w:b/>
        </w:rPr>
        <w:t xml:space="preserve">What this is not</w:t>
      </w:r>
    </w:p>
    <w:p>
      <w:pPr>
        <w:spacing w:before="0" w:after="120"/>
        <w:rPr>
          <w:sz w:val="22"/>
        </w:rPr>
      </w:pPr>
      <w:r>
        <w:rPr>
          <w:sz w:val="22"/>
        </w:rPr>
        <w:t xml:space="preserve">Two easy explanations were checked and both are ruled out.</w:t>
      </w:r>
    </w:p>
    <w:p>
      <w:pPr>
        <w:spacing w:before="0" w:after="120"/>
        <w:rPr>
          <w:sz w:val="22"/>
        </w:rPr>
      </w:pPr>
      <w:r>
        <w:rPr>
          <w:sz w:val="22"/>
          <w:b/>
        </w:rPr>
        <w:t xml:space="preserve">It is not that the graph splits by amount instead of count.</w:t>
      </w:r>
      <w:r>
        <w:rPr>
          <w:sz w:val="22"/>
        </w:rPr>
        <w:t xml:space="preserve"> The amounts on the same run are ACH </w:t>
      </w:r>
      <w:r>
        <w:rPr>
          <w:sz w:val="22"/>
          <w:rFonts w:ascii="Consolas" w:hAnsi="Consolas"/>
          <w:sz w:val="20"/>
        </w:rPr>
        <w:t xml:space="preserve">$16,039.11</w:t>
      </w:r>
      <w:r>
        <w:rPr>
          <w:sz w:val="22"/>
        </w:rPr>
        <w:t xml:space="preserve"> and card </w:t>
      </w:r>
      <w:r>
        <w:rPr>
          <w:sz w:val="22"/>
          <w:rFonts w:ascii="Consolas" w:hAnsi="Consolas"/>
          <w:sz w:val="20"/>
        </w:rPr>
        <w:t xml:space="preserve">$22,936.00</w:t>
      </w:r>
      <w:r>
        <w:rPr>
          <w:sz w:val="22"/>
        </w:rPr>
        <w:t xml:space="preserve">, a total of </w:t>
      </w:r>
      <w:r>
        <w:rPr>
          <w:sz w:val="22"/>
          <w:rFonts w:ascii="Consolas" w:hAnsi="Consolas"/>
          <w:sz w:val="20"/>
        </w:rPr>
        <w:t xml:space="preserve">$38,975.11</w:t>
      </w:r>
      <w:r>
        <w:rPr>
          <w:sz w:val="22"/>
        </w:rPr>
        <w:t xml:space="preserve">. That makes ACH 41.15 % by value. The graph shows 45.45 %, so it is not drawing value either.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How the split is worked out</w:t>
            </w:r>
          </w:p>
        </w:tc>
        <w:tc>
          <w:tcPr>
            <w:tcW w:w="4680" w:type="dxa"/>
            <w:shd w:val="clear" w:fill="F2F2F2"/>
          </w:tcPr>
          <w:p>
            <w:pPr>
              <w:spacing w:before="40" w:after="40"/>
            </w:pPr>
            <w:r>
              <w:rPr>
                <w:sz w:val="20"/>
                <w:b/>
              </w:rPr>
              <w:t xml:space="preserve">ACH share</w:t>
            </w:r>
          </w:p>
        </w:tc>
      </w:tr>
      <w:tr>
        <w:tc>
          <w:tcPr>
            <w:tcW w:w="4680" w:type="dxa"/>
          </w:tcPr>
          <w:p>
            <w:pPr>
              <w:spacing w:before="40" w:after="40"/>
            </w:pPr>
            <w:r>
              <w:rPr>
                <w:sz w:val="20"/>
              </w:rPr>
              <w:t xml:space="preserve">By count (the table)</w:t>
            </w:r>
          </w:p>
        </w:tc>
        <w:tc>
          <w:tcPr>
            <w:tcW w:w="4680" w:type="dxa"/>
          </w:tcPr>
          <w:p>
            <w:pPr>
              <w:spacing w:before="40" w:after="40"/>
            </w:pPr>
            <w:r>
              <w:rPr>
                <w:sz w:val="20"/>
              </w:rPr>
              <w:t xml:space="preserve">44.81 %</w:t>
            </w:r>
          </w:p>
        </w:tc>
      </w:tr>
      <w:tr>
        <w:tc>
          <w:tcPr>
            <w:tcW w:w="4680" w:type="dxa"/>
          </w:tcPr>
          <w:p>
            <w:pPr>
              <w:spacing w:before="40" w:after="40"/>
            </w:pPr>
            <w:r>
              <w:rPr>
                <w:sz w:val="20"/>
              </w:rPr>
              <w:t xml:space="preserve">By amount</w:t>
            </w:r>
          </w:p>
        </w:tc>
        <w:tc>
          <w:tcPr>
            <w:tcW w:w="4680" w:type="dxa"/>
          </w:tcPr>
          <w:p>
            <w:pPr>
              <w:spacing w:before="40" w:after="40"/>
            </w:pPr>
            <w:r>
              <w:rPr>
                <w:sz w:val="20"/>
              </w:rPr>
              <w:t xml:space="preserve">41.15 %</w:t>
            </w:r>
          </w:p>
        </w:tc>
      </w:tr>
      <w:tr>
        <w:tc>
          <w:tcPr>
            <w:tcW w:w="4680" w:type="dxa"/>
          </w:tcPr>
          <w:p>
            <w:pPr>
              <w:spacing w:before="40" w:after="40"/>
            </w:pPr>
            <w:r>
              <w:rPr>
                <w:sz w:val="20"/>
              </w:rPr>
              <w:t xml:space="preserve">What the graph draws</w:t>
            </w:r>
          </w:p>
        </w:tc>
        <w:tc>
          <w:tcPr>
            <w:tcW w:w="4680" w:type="dxa"/>
          </w:tcPr>
          <w:p>
            <w:pPr>
              <w:spacing w:before="40" w:after="40"/>
            </w:pPr>
            <w:r>
              <w:rPr>
                <w:sz w:val="20"/>
              </w:rPr>
              <w:t xml:space="preserve">45.45 %</w:t>
            </w:r>
          </w:p>
        </w:tc>
      </w:tr>
    </w:tbl>
    <w:p>
      <w:pPr>
        <w:spacing w:after="120"/>
      </w:pPr>
    </w:p>
    <w:p>
      <w:pPr>
        <w:spacing w:before="0" w:after="120"/>
        <w:rPr>
          <w:sz w:val="22"/>
        </w:rPr>
      </w:pPr>
      <w:r>
        <w:rPr>
          <w:sz w:val="22"/>
        </w:rPr>
        <w:t xml:space="preserve">The graph matches neither. It is counting payments, but not all of them.</w:t>
      </w:r>
    </w:p>
    <w:p>
      <w:pPr>
        <w:spacing w:before="0" w:after="120"/>
        <w:rPr>
          <w:sz w:val="22"/>
        </w:rPr>
      </w:pPr>
      <w:r>
        <w:rPr>
          <w:sz w:val="22"/>
          <w:b/>
        </w:rPr>
        <w:t xml:space="preserve">It is not rounding.</w:t>
      </w:r>
      <w:r>
        <w:rPr>
          <w:sz w:val="22"/>
        </w:rPr>
        <w:t xml:space="preserve"> The two figures are 0.64 percentage points apart. Rounding to two decimals moves a number by at most 0.005. The gap is a hundred times larger than that, and it resolves to a whole number of payments — exactly three.</w:t>
      </w:r>
    </w:p>
    <w:p>
      <w:pPr>
        <w:spacing w:before="280" w:after="120"/>
        <w:rPr>
          <w:sz w:val="28"/>
          <w:b/>
        </w:rPr>
      </w:pPr>
      <w:r>
        <w:rPr>
          <w:sz w:val="28"/>
          <w:b/>
        </w:rPr>
        <w:t xml:space="preserve">An open question for the product owner</w:t>
      </w:r>
    </w:p>
    <w:p>
      <w:pPr>
        <w:spacing w:before="0" w:after="120"/>
        <w:rPr>
          <w:sz w:val="22"/>
        </w:rPr>
      </w:pPr>
      <w:r>
        <w:rPr>
          <w:sz w:val="22"/>
        </w:rPr>
        <w:t xml:space="preserve">This report says the graph is the side that is wrong. That assumes an Apple Pay payment and a PULSE payment are card payments.</w:t>
      </w:r>
    </w:p>
    <w:p>
      <w:pPr>
        <w:spacing w:before="0" w:after="120"/>
        <w:rPr>
          <w:sz w:val="22"/>
        </w:rPr>
      </w:pPr>
      <w:r>
        <w:rPr>
          <w:sz w:val="22"/>
        </w:rPr>
        <w:t xml:space="preserve">That assumption should be confirmed rather than taken for granted. If </w:t>
      </w:r>
      <w:r>
        <w:rPr>
          <w:sz w:val="22"/>
          <w:b/>
        </w:rPr>
        <w:t xml:space="preserve">Card Payments</w:t>
      </w:r>
      <w:r>
        <w:rPr>
          <w:sz w:val="22"/>
        </w:rPr>
        <w:t xml:space="preserve"> is meant to cover every payment that is not ACH, the graph is undercounting and should be fixed. If it is meant to cover branded cards only, the graph is behaving as intended and the label is what misleads — in which case the table needs a clearer heading, or the graph needs a third bar for everything else.</w:t>
      </w:r>
    </w:p>
    <w:p>
      <w:pPr>
        <w:spacing w:before="0" w:after="120"/>
        <w:rPr>
          <w:sz w:val="22"/>
        </w:rPr>
      </w:pPr>
      <w:r>
        <w:rPr>
          <w:sz w:val="22"/>
        </w:rPr>
        <w:t xml:space="preserve">Either way there is a defect, because two views of the same payments disagree and the merchant cannot tell which to trust. What should change depends on the answer.</w:t>
      </w:r>
    </w:p>
    <w:p>
      <w:pPr>
        <w:spacing w:before="0" w:after="120"/>
        <w:rPr>
          <w:sz w:val="22"/>
        </w:rPr>
      </w:pPr>
      <w:r>
        <w:rPr>
          <w:sz w:val="22"/>
        </w:rPr>
        <w:t xml:space="preserve">Worth settling before the fix is written, so the fix lands on the right side.</w:t>
      </w:r>
    </w:p>
    <w:p>
      <w:pPr>
        <w:spacing w:before="280" w:after="120"/>
        <w:rPr>
          <w:sz w:val="28"/>
          <w:b/>
        </w:rPr>
      </w:pPr>
      <w:r>
        <w:rPr>
          <w:sz w:val="28"/>
          <w:b/>
        </w:rPr>
        <w:t xml:space="preserve">How to tell it is fixed</w:t>
      </w:r>
    </w:p>
    <w:p>
      <w:pPr>
        <w:spacing w:before="0" w:after="120"/>
        <w:rPr>
          <w:sz w:val="22"/>
        </w:rPr>
      </w:pPr>
      <w:r>
        <w:rPr>
          <w:sz w:val="22"/>
        </w:rPr>
        <w:t xml:space="preserve">Over the same 90-day range on the same account:</w:t>
      </w:r>
    </w:p>
    <w:p>
      <w:pPr>
        <w:spacing w:before="0" w:after="120"/>
        <w:rPr>
          <w:sz w:val="22"/>
        </w:rPr>
      </w:pPr>
      <w:r>
        <w:rPr>
          <w:sz w:val="22"/>
        </w:rPr>
        <w:t xml:space="preserve">1. Group by Funding Method alone and Execute. 2. Add the Count column: ACH on its own, everything else together. 3. Divide the ACH count by the total. 4. That figure must equal what the graph draws, to the decimal place shown.</w:t>
      </w:r>
    </w:p>
    <w:p>
      <w:pPr>
        <w:spacing w:before="0" w:after="120"/>
        <w:rPr>
          <w:sz w:val="22"/>
        </w:rPr>
      </w:pPr>
      <w:r>
        <w:rPr>
          <w:sz w:val="22"/>
        </w:rPr>
        <w:t xml:space="preserve">The check must also hold with an AppleSale or PULSE payment inside the range, since those are what the graph currently appears to drop. A fix that only works on ordinary card brands has not fixed it.</w:t>
      </w:r>
    </w:p>
    <w:p>
      <w:pPr>
        <w:spacing w:before="0" w:after="120"/>
        <w:rPr>
          <w:sz w:val="22"/>
        </w:rPr>
      </w:pPr>
      <w:r>
        <w:rPr>
          <w:sz w:val="22"/>
        </w:rPr>
        <w:t xml:space="preserve">The automated test named above performs exactly this comparison and is marked expected-fail. When the defect is fixed that test will start failing, which is the signal to remove the marking.</w:t>
      </w:r>
    </w:p>
    <w:p>
      <w:pPr>
        <w:spacing w:before="280" w:after="120"/>
        <w:rPr>
          <w:sz w:val="28"/>
          <w:b/>
        </w:rPr>
      </w:pPr>
      <w:r>
        <w:rPr>
          <w:sz w:val="28"/>
          <w:b/>
        </w:rPr>
        <w:t xml:space="preserve">Impact</w:t>
      </w:r>
    </w:p>
    <w:p>
      <w:pPr>
        <w:spacing w:before="0" w:after="120"/>
        <w:rPr>
          <w:sz w:val="22"/>
        </w:rPr>
      </w:pPr>
      <w:r>
        <w:rPr>
          <w:sz w:val="22"/>
        </w:rPr>
        <w:t xml:space="preserve">The graph is the first thing on the page a merchant looks at. It is the summary. If it disagrees with the table below it, one of the two is wrong and the merchant has no way to tell which.</w:t>
      </w:r>
    </w:p>
    <w:p>
      <w:pPr>
        <w:spacing w:before="0" w:after="120"/>
        <w:rPr>
          <w:sz w:val="22"/>
        </w:rPr>
      </w:pPr>
      <w:r>
        <w:rPr>
          <w:sz w:val="22"/>
        </w:rPr>
        <w:t xml:space="preserve">Here the graph is the wrong one, and it is wrong in a quiet way. Three payments out of 212 shifts the split by less than a percentage point. Nobody notices by eye. It is only caught by adding the table up.</w:t>
      </w:r>
    </w:p>
    <w:p>
      <w:pPr>
        <w:spacing w:before="0" w:after="120"/>
        <w:rPr>
          <w:sz w:val="22"/>
        </w:rPr>
      </w:pPr>
      <w:r>
        <w:rPr>
          <w:sz w:val="22"/>
        </w:rPr>
        <w:t xml:space="preserve">The number of missing payments depends on how many unusual payment types fall in the range, so the error grows as those become more common. A merchant taking a lot of Apple Pay would see a bigger gap.</w:t>
      </w:r>
    </w:p>
    <w:p>
      <w:pPr>
        <w:spacing w:before="0" w:after="120"/>
        <w:rPr>
          <w:sz w:val="22"/>
        </w:rPr>
      </w:pPr>
      <w:r>
        <w:rPr>
          <w:sz w:val="22"/>
          <w:b/>
        </w:rPr>
        <w:t xml:space="preserve">Workaround:</w:t>
      </w:r>
      <w:r>
        <w:rPr>
          <w:sz w:val="22"/>
        </w:rPr>
        <w:t xml:space="preserve"> trust the query table, not the graph.</w:t>
      </w:r>
    </w:p>
    <w:p>
      <w:pPr>
        <w:spacing w:before="280" w:after="120"/>
        <w:rPr>
          <w:sz w:val="28"/>
          <w:b/>
        </w:rPr>
      </w:pPr>
      <w:r>
        <w:rPr>
          <w:sz w:val="28"/>
          <w:b/>
        </w:rPr>
        <w:t xml:space="preserve">Notes for the developer</w:t>
      </w:r>
    </w:p>
    <w:p>
      <w:pPr>
        <w:spacing w:before="0" w:after="80"/>
        <w:ind w:left="360"/>
        <w:rPr>
          <w:sz w:val="22"/>
        </w:rPr>
      </w:pPr>
      <w:r>
        <w:rPr>
          <w:sz w:val="22"/>
        </w:rPr>
        <w:t xml:space="preserve">• Compare how each side decides a payment is a card payment. The table appears to treat anything that is not ACH as card. The graph appears to use a narrower rule.</w:t>
      </w:r>
    </w:p>
    <w:p>
      <w:pPr>
        <w:spacing w:before="0" w:after="80"/>
        <w:ind w:left="360"/>
        <w:rPr>
          <w:sz w:val="22"/>
        </w:rPr>
      </w:pPr>
      <w:r>
        <w:rPr>
          <w:sz w:val="22"/>
        </w:rPr>
        <w:t xml:space="preserve">• Start with AppleSale and PULSE. They account for the gap exactly on this run.</w:t>
      </w:r>
    </w:p>
    <w:p>
      <w:pPr>
        <w:spacing w:before="0" w:after="80"/>
        <w:ind w:left="360"/>
        <w:rPr>
          <w:sz w:val="22"/>
        </w:rPr>
      </w:pPr>
      <w:r>
        <w:rPr>
          <w:sz w:val="22"/>
        </w:rPr>
        <w:t xml:space="preserve">• Whatever the rule is, both views should share it. Two places deciding the same thing separately is how they drifted apart.</w:t>
      </w:r>
    </w:p>
    <w:p>
      <w:pPr>
        <w:spacing w:before="0" w:after="80"/>
        <w:ind w:left="360"/>
        <w:rPr>
          <w:sz w:val="22"/>
        </w:rPr>
      </w:pPr>
      <w:r>
        <w:rPr>
          <w:sz w:val="22"/>
        </w:rPr>
        <w:t xml:space="preserve">• The query side is self-consistent. The default grouping, grouping by Funding Method alone and the two-field grouping all return the same 95 and 117, so the disagreement is between the graph and the query, not within the query.</w:t>
      </w:r>
    </w:p>
    <w:p>
      <w:pPr>
        <w:spacing w:before="0" w:after="200"/>
        <w:rPr>
          <w:sz w:val="36"/>
          <w:b/>
        </w:rPr>
      </w:pPr>
      <w:r>
        <w:rPr>
          <w:sz w:val="36"/>
          <w:b/>
        </w:rPr>
        <w:t xml:space="preserve">9. PS-NEG-12 — from 1 October the page shows all zeros, with no warning</w:t>
      </w:r>
    </w:p>
    <w:p>
      <w:pPr>
        <w:spacing w:before="0" w:after="120"/>
        <w:rPr>
          <w:sz w:val="22"/>
        </w:rPr>
      </w:pPr>
      <w:r>
        <w:rPr>
          <w:sz w:val="22"/>
          <w:b/>
        </w:rPr>
        <w:t xml:space="preserve">Test case:</w:t>
      </w:r>
      <w:r>
        <w:rPr>
          <w:sz w:val="22"/>
        </w:rPr>
        <w:t xml:space="preserve"> PS-NEG-12 </w:t>
      </w:r>
      <w:r>
        <w:rPr>
          <w:sz w:val="22"/>
          <w:b/>
        </w:rPr>
        <w:t xml:space="preserve">Priority:</w:t>
      </w:r>
      <w:r>
        <w:rPr>
          <w:sz w:val="22"/>
        </w:rPr>
        <w:t xml:space="preserve"> Critical </w:t>
      </w:r>
      <w:r>
        <w:rPr>
          <w:sz w:val="22"/>
          <w:b/>
        </w:rPr>
        <w:t xml:space="preserve">Gateways:</w:t>
      </w:r>
      <w:r>
        <w:rPr>
          <w:sz w:val="22"/>
        </w:rPr>
        <w:t xml:space="preserve"> all — measured on IPG </w:t>
      </w:r>
      <w:r>
        <w:rPr>
          <w:sz w:val="22"/>
          <w:b/>
        </w:rPr>
        <w:t xml:space="preserve">Date observed:</w:t>
      </w:r>
      <w:r>
        <w:rPr>
          <w:sz w:val="22"/>
        </w:rPr>
        <w:t xml:space="preserve"> 21 September 2026, impact confirmed 24 September 2026</w:t>
      </w:r>
    </w:p>
    <w:p>
      <w:pPr>
        <w:spacing w:before="0" w:after="120"/>
        <w:rPr>
          <w:sz w:val="22"/>
        </w:rPr>
      </w:pPr>
      <w:r>
        <w:rPr>
          <w:sz w:val="22"/>
        </w:rPr>
        <w:t xml:space="preserve">&gt; </w:t>
      </w:r>
      <w:r>
        <w:rPr>
          <w:sz w:val="22"/>
          <w:b/>
        </w:rPr>
        <w:t xml:space="preserve">This has not happened yet. It starts on 1 October 2026.</w:t>
      </w:r>
      <w:r>
        <w:rPr>
          <w:sz w:val="22"/>
        </w:rPr>
        <w:t xml:space="preserve"> &gt; Nothing needs to go wrong and nobody needs to do anything unusual. It arrives with the &gt; calendar. There are seven days left at the time of writing.</w:t>
      </w:r>
    </w:p>
    <w:p>
      <w:pPr>
        <w:spacing w:before="280" w:after="120"/>
        <w:rPr>
          <w:sz w:val="28"/>
          <w:b/>
        </w:rPr>
      </w:pPr>
      <w:r>
        <w:rPr>
          <w:sz w:val="28"/>
          <w:b/>
        </w:rPr>
        <w:t xml:space="preserve">Summary</w:t>
      </w:r>
    </w:p>
    <w:p>
      <w:pPr>
        <w:spacing w:before="0" w:after="120"/>
        <w:rPr>
          <w:sz w:val="22"/>
        </w:rPr>
      </w:pPr>
      <w:r>
        <w:rPr>
          <w:sz w:val="22"/>
        </w:rPr>
        <w:t xml:space="preserve">The default date range is built by joining text together with a </w:t>
      </w:r>
      <w:r>
        <w:rPr>
          <w:sz w:val="22"/>
          <w:b/>
        </w:rPr>
        <w:t xml:space="preserve">fixed leading zero</w:t>
      </w:r>
      <w:r>
        <w:rPr>
          <w:sz w:val="22"/>
        </w:rPr>
        <w:t xml:space="preserve"> in front of the month. For months 1 to 9 that is correct — </w:t>
      </w:r>
      <w:r>
        <w:rPr>
          <w:sz w:val="22"/>
          <w:rFonts w:ascii="Consolas" w:hAnsi="Consolas"/>
          <w:sz w:val="20"/>
        </w:rPr>
        <w:t xml:space="preserve">09</w:t>
      </w:r>
      <w:r>
        <w:rPr>
          <w:sz w:val="22"/>
        </w:rPr>
        <w:t xml:space="preserve"> is right. From month 10 it is not: October becomes </w:t>
      </w:r>
      <w:r>
        <w:rPr>
          <w:sz w:val="22"/>
          <w:rFonts w:ascii="Consolas" w:hAnsi="Consolas"/>
          <w:sz w:val="20"/>
        </w:rPr>
        <w:t xml:space="preserve">010</w:t>
      </w:r>
      <w:r>
        <w:rPr>
          <w:sz w:val="22"/>
        </w:rPr>
        <w:t xml:space="preserve">, November </w:t>
      </w:r>
      <w:r>
        <w:rPr>
          <w:sz w:val="22"/>
          <w:rFonts w:ascii="Consolas" w:hAnsi="Consolas"/>
          <w:sz w:val="20"/>
        </w:rPr>
        <w:t xml:space="preserve">011</w:t>
      </w:r>
      <w:r>
        <w:rPr>
          <w:sz w:val="22"/>
        </w:rPr>
        <w:t xml:space="preserve">, December </w:t>
      </w:r>
      <w:r>
        <w:rPr>
          <w:sz w:val="22"/>
          <w:rFonts w:ascii="Consolas" w:hAnsi="Consolas"/>
          <w:sz w:val="20"/>
        </w:rPr>
        <w:t xml:space="preserve">012</w:t>
      </w:r>
      <w:r>
        <w:rPr>
          <w:sz w:val="22"/>
        </w:rPr>
        <w:t xml:space="preserve">.</w:t>
      </w:r>
    </w:p>
    <w:p>
      <w:pPr>
        <w:spacing w:before="0" w:after="120"/>
        <w:rPr>
          <w:sz w:val="22"/>
        </w:rPr>
      </w:pPr>
      <w:r>
        <w:rPr>
          <w:sz w:val="22"/>
        </w:rPr>
        <w:t xml:space="preserve">The date boxes on screen stay perfectly correct throughout.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are what a merchant sees. Only the value the page sends out carries the extra digit.</w:t>
      </w:r>
    </w:p>
    <w:p>
      <w:pPr>
        <w:spacing w:before="0" w:after="120"/>
        <w:rPr>
          <w:sz w:val="22"/>
        </w:rPr>
      </w:pPr>
      <w:r>
        <w:rPr>
          <w:sz w:val="22"/>
        </w:rPr>
        <w:t xml:space="preserve">The result is that from October the figures are wrong, and from November the page reads </w:t>
      </w:r>
      <w:r>
        <w:rPr>
          <w:sz w:val="22"/>
          <w:b/>
        </w:rPr>
        <w:t xml:space="preserve">all zeros</w:t>
      </w:r>
      <w:r>
        <w:rPr>
          <w:sz w:val="22"/>
        </w:rPr>
        <w:t xml:space="preserve">. No error is shown at any point.</w:t>
      </w:r>
    </w:p>
    <w:p>
      <w:pPr>
        <w:spacing w:before="280" w:after="120"/>
        <w:rPr>
          <w:sz w:val="28"/>
          <w:b/>
        </w:rPr>
      </w:pPr>
      <w:r>
        <w:rPr>
          <w:sz w:val="28"/>
          <w:b/>
        </w:rPr>
        <w:t xml:space="preserve">Steps to reproduce</w:t>
      </w:r>
    </w:p>
    <w:p>
      <w:pPr>
        <w:spacing w:before="0" w:after="120"/>
        <w:rPr>
          <w:sz w:val="22"/>
        </w:rPr>
      </w:pPr>
      <w:r>
        <w:rPr>
          <w:sz w:val="22"/>
        </w:rPr>
        <w:t xml:space="preserve">Waiting for October is one way. To see it now:</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Let the page load with real figures. 2. Change the machine's date to </w:t>
      </w:r>
      <w:r>
        <w:rPr>
          <w:sz w:val="22"/>
          <w:b/>
        </w:rPr>
        <w:t xml:space="preserve">20 November 2026</w:t>
      </w:r>
      <w:r>
        <w:rPr>
          <w:sz w:val="22"/>
        </w:rPr>
        <w:t xml:space="preserve">. 3. Press the </w:t>
      </w:r>
      <w:r>
        <w:rPr>
          <w:sz w:val="22"/>
          <w:b/>
        </w:rPr>
        <w:t xml:space="preserve">refresh</w:t>
      </w:r>
      <w:r>
        <w:rPr>
          <w:sz w:val="22"/>
        </w:rPr>
        <w:t xml:space="preserve"> icon beside the Payment Stats heading. Press it </w:t>
      </w:r>
      <w:r>
        <w:rPr>
          <w:sz w:val="22"/>
          <w:b/>
        </w:rPr>
        <w:t xml:space="preserve">twice</w:t>
      </w:r>
      <w:r>
        <w:rPr>
          <w:sz w:val="22"/>
        </w:rPr>
        <w:t xml:space="preserve"> — the first click after page load is swallowed, which is a separate defect (PS-SUB-03). 4. Read the table, the graph and the two date boxes.</w:t>
      </w:r>
    </w:p>
    <w:p>
      <w:pPr>
        <w:spacing w:before="0" w:after="120"/>
        <w:rPr>
          <w:sz w:val="22"/>
        </w:rPr>
      </w:pPr>
      <w:r>
        <w:rPr>
          <w:sz w:val="22"/>
        </w:rPr>
        <w:t xml:space="preserve">The date must be changed </w:t>
      </w:r>
      <w:r>
        <w:rPr>
          <w:sz w:val="22"/>
          <w:b/>
        </w:rPr>
        <w:t xml:space="preserve">after</w:t>
      </w:r>
      <w:r>
        <w:rPr>
          <w:sz w:val="22"/>
        </w:rPr>
        <w:t xml:space="preserve"> the page is open. Changing it first and then navigating does not rebuild the range.</w:t>
      </w:r>
    </w:p>
    <w:p>
      <w:pPr>
        <w:spacing w:before="280" w:after="120"/>
        <w:rPr>
          <w:sz w:val="28"/>
          <w:b/>
        </w:rPr>
      </w:pPr>
      <w:r>
        <w:rPr>
          <w:sz w:val="28"/>
          <w:b/>
        </w:rPr>
        <w:t xml:space="preserve">Expected result</w:t>
      </w:r>
    </w:p>
    <w:p>
      <w:pPr>
        <w:spacing w:before="0" w:after="120"/>
        <w:rPr>
          <w:sz w:val="22"/>
        </w:rPr>
      </w:pPr>
      <w:r>
        <w:rPr>
          <w:sz w:val="22"/>
        </w:rPr>
        <w:t xml:space="preserve">The default range works the same in every month of the year. December is not special.</w:t>
      </w:r>
    </w:p>
    <w:p>
      <w:pPr>
        <w:spacing w:before="280" w:after="120"/>
        <w:rPr>
          <w:sz w:val="28"/>
          <w:b/>
        </w:rPr>
      </w:pPr>
      <w:r>
        <w:rPr>
          <w:sz w:val="28"/>
          <w:b/>
        </w:rPr>
        <w:t xml:space="preserve">Actual result</w:t>
      </w:r>
    </w:p>
    <w:p>
      <w:pPr>
        <w:spacing w:before="0" w:after="120"/>
        <w:rPr>
          <w:sz w:val="22"/>
        </w:rPr>
      </w:pPr>
      <w:r>
        <w:rPr>
          <w:sz w:val="22"/>
        </w:rPr>
        <w:t xml:space="preserve">Every figure on the page reads zero and the graph disappears. The date boxes still show a sensible range, and nothing tells the merchant anything is wrong.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What the page sends</w:t>
            </w:r>
          </w:p>
        </w:tc>
        <w:tc>
          <w:tcPr>
            <w:tcW w:w="3120" w:type="dxa"/>
            <w:shd w:val="clear" w:fill="F2F2F2"/>
          </w:tcPr>
          <w:p>
            <w:pPr>
              <w:spacing w:before="40" w:after="40"/>
            </w:pPr>
            <w:r>
              <w:rPr>
                <w:sz w:val="20"/>
                <w:b/>
              </w:rPr>
              <w:t xml:space="preserve">Month</w:t>
            </w:r>
          </w:p>
        </w:tc>
        <w:tc>
          <w:tcPr>
            <w:tcW w:w="3120" w:type="dxa"/>
            <w:shd w:val="clear" w:fill="F2F2F2"/>
          </w:tcPr>
          <w:p>
            <w:pPr>
              <w:spacing w:before="40" w:after="40"/>
            </w:pPr>
            <w:r>
              <w:rPr>
                <w:sz w:val="20"/>
                <w:b/>
              </w:rPr>
              <w:t xml:space="preserve">Result on screen</w:t>
            </w:r>
          </w:p>
        </w:tc>
      </w:tr>
      <w:tr>
        <w:tc>
          <w:tcPr>
            <w:tcW w:w="3120" w:type="dxa"/>
          </w:tcPr>
          <w:p>
            <w:pPr>
              <w:spacing w:before="40" w:after="40"/>
            </w:pPr>
            <w:r>
              <w:rPr>
                <w:sz w:val="20"/>
              </w:rPr>
              <w:t xml:space="preserve">2026-09-15 → 2026-010-15</w:t>
            </w:r>
          </w:p>
        </w:tc>
        <w:tc>
          <w:tcPr>
            <w:tcW w:w="3120" w:type="dxa"/>
          </w:tcPr>
          <w:p>
            <w:pPr>
              <w:spacing w:before="40" w:after="40"/>
            </w:pPr>
            <w:r>
              <w:rPr>
                <w:sz w:val="20"/>
              </w:rPr>
              <w:t xml:space="preserve">October</w:t>
            </w:r>
          </w:p>
        </w:tc>
        <w:tc>
          <w:tcPr>
            <w:tcW w:w="3120" w:type="dxa"/>
          </w:tcPr>
          <w:p>
            <w:pPr>
              <w:spacing w:before="40" w:after="40"/>
            </w:pPr>
            <w:r>
              <w:rPr>
                <w:sz w:val="20"/>
              </w:rPr>
              <w:t xml:space="preserve">figures shown, but for the wrong window</w:t>
            </w:r>
          </w:p>
        </w:tc>
      </w:tr>
      <w:tr>
        <w:tc>
          <w:tcPr>
            <w:tcW w:w="3120" w:type="dxa"/>
          </w:tcPr>
          <w:p>
            <w:pPr>
              <w:spacing w:before="40" w:after="40"/>
            </w:pPr>
            <w:r>
              <w:rPr>
                <w:sz w:val="20"/>
              </w:rPr>
              <w:t xml:space="preserve">2026-010-21 → 2026-011-20</w:t>
            </w:r>
          </w:p>
        </w:tc>
        <w:tc>
          <w:tcPr>
            <w:tcW w:w="3120" w:type="dxa"/>
          </w:tcPr>
          <w:p>
            <w:pPr>
              <w:spacing w:before="40" w:after="40"/>
            </w:pPr>
            <w:r>
              <w:rPr>
                <w:sz w:val="20"/>
              </w:rPr>
              <w:t xml:space="preserve">November</w:t>
            </w:r>
          </w:p>
        </w:tc>
        <w:tc>
          <w:tcPr>
            <w:tcW w:w="3120" w:type="dxa"/>
          </w:tcPr>
          <w:p>
            <w:pPr>
              <w:spacing w:before="40" w:after="40"/>
            </w:pPr>
            <w:r>
              <w:rPr>
                <w:sz w:val="20"/>
              </w:rPr>
              <w:t xml:space="preserve">everything reads zero</w:t>
            </w:r>
          </w:p>
        </w:tc>
      </w:tr>
      <w:tr>
        <w:tc>
          <w:tcPr>
            <w:tcW w:w="3120" w:type="dxa"/>
          </w:tcPr>
          <w:p>
            <w:pPr>
              <w:spacing w:before="40" w:after="40"/>
            </w:pPr>
            <w:r>
              <w:rPr>
                <w:sz w:val="20"/>
              </w:rPr>
              <w:t xml:space="preserve">2026-011-5 → 2026-012-05</w:t>
            </w:r>
          </w:p>
        </w:tc>
        <w:tc>
          <w:tcPr>
            <w:tcW w:w="3120" w:type="dxa"/>
          </w:tcPr>
          <w:p>
            <w:pPr>
              <w:spacing w:before="40" w:after="40"/>
            </w:pPr>
            <w:r>
              <w:rPr>
                <w:sz w:val="20"/>
              </w:rPr>
              <w:t xml:space="preserve">December</w:t>
            </w:r>
          </w:p>
        </w:tc>
        <w:tc>
          <w:tcPr>
            <w:tcW w:w="3120" w:type="dxa"/>
          </w:tcPr>
          <w:p>
            <w:pPr>
              <w:spacing w:before="40" w:after="40"/>
            </w:pPr>
            <w:r>
              <w:rPr>
                <w:sz w:val="20"/>
              </w:rPr>
              <w:t xml:space="preserve">same as November</w:t>
            </w:r>
          </w:p>
        </w:tc>
      </w:tr>
    </w:tbl>
    <w:p>
      <w:pPr>
        <w:spacing w:after="120"/>
      </w:pPr>
    </w:p>
    <w:p>
      <w:pPr>
        <w:spacing w:before="0" w:after="120"/>
        <w:rPr>
          <w:sz w:val="22"/>
        </w:rPr>
      </w:pPr>
      <w:r>
        <w:rPr>
          <w:sz w:val="22"/>
        </w:rPr>
        <w:t xml:space="preserve">October is the milder case because only the closing date is malformed. From November both dates carry the extra digit and nothing is returned at all.</w:t>
      </w:r>
    </w:p>
    <w:p>
      <w:pPr>
        <w:spacing w:before="0" w:after="120"/>
        <w:rPr>
          <w:sz w:val="22"/>
        </w:rPr>
      </w:pPr>
      <w:r>
        <w:rPr>
          <w:sz w:val="22"/>
        </w:rPr>
        <w:t xml:space="preserve">Note the December value </w:t>
      </w:r>
      <w:r>
        <w:rPr>
          <w:sz w:val="22"/>
          <w:rFonts w:ascii="Consolas" w:hAnsi="Consolas"/>
          <w:sz w:val="20"/>
        </w:rPr>
        <w:t xml:space="preserve">2026-011-5</w:t>
      </w:r>
      <w:r>
        <w:rPr>
          <w:sz w:val="22"/>
        </w:rPr>
        <w:t xml:space="preserve"> — the </w:t>
      </w:r>
      <w:r>
        <w:rPr>
          <w:sz w:val="22"/>
          <w:b/>
        </w:rPr>
        <w:t xml:space="preserve">day</w:t>
      </w:r>
      <w:r>
        <w:rPr>
          <w:sz w:val="22"/>
        </w:rPr>
        <w:t xml:space="preserve"> loses its leading zero as well.</w:t>
      </w:r>
    </w:p>
    <w:p>
      <w:pPr>
        <w:spacing w:before="280" w:after="120"/>
        <w:rPr>
          <w:sz w:val="28"/>
          <w:b/>
        </w:rPr>
      </w:pPr>
      <w:r>
        <w:rPr>
          <w:sz w:val="28"/>
          <w:b/>
        </w:rPr>
        <w:t xml:space="preserve">Evidence</w:t>
      </w:r>
    </w:p>
    <w:p>
      <w:pPr>
        <w:spacing w:before="240" w:after="100"/>
        <w:rPr>
          <w:sz w:val="24"/>
          <w:b/>
        </w:rPr>
      </w:pPr>
      <w:r>
        <w:rPr>
          <w:sz w:val="24"/>
          <w:b/>
        </w:rPr>
        <w:t xml:space="preserve">September — the page working normally</w:t>
      </w:r>
    </w:p>
    <w:p>
      <w:pPr>
        <w:spacing w:before="80" w:after="200"/>
      </w:pPr>
      <w:r>
        <w:drawing>
          <wp:inline distT="0" distB="0" distL="0" distR="0">
            <wp:extent cx="5943600" cy="3714750"/>
            <wp:docPr id="118" name="Picture 118"/>
            <a:graphic xmlns:a="http://schemas.openxmlformats.org/drawingml/2006/main">
              <a:graphicData uri="http://schemas.openxmlformats.org/drawingml/2006/picture">
                <pic:pic xmlns:pic="http://schemas.openxmlformats.org/drawingml/2006/picture">
                  <pic:nvPicPr>
                    <pic:cNvPr id="118" name="Picture"/>
                    <pic:cNvPicPr/>
                  </pic:nvPicPr>
                  <pic:blipFill>
                    <a:blip r:embed="rId118"/>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Card Payments </w:t>
      </w:r>
      <w:r>
        <w:rPr>
          <w:sz w:val="22"/>
          <w:rFonts w:ascii="Consolas" w:hAnsi="Consolas"/>
          <w:sz w:val="20"/>
        </w:rPr>
        <w:t xml:space="preserve">$44,903.20</w:t>
      </w:r>
      <w:r>
        <w:rPr>
          <w:sz w:val="22"/>
        </w:rPr>
        <w:t xml:space="preserve"> across 708 payments, Card Voids </w:t>
      </w:r>
      <w:r>
        <w:rPr>
          <w:sz w:val="22"/>
          <w:rFonts w:ascii="Consolas" w:hAnsi="Consolas"/>
          <w:sz w:val="20"/>
        </w:rPr>
        <w:t xml:space="preserve">$510.00</w:t>
      </w:r>
      <w:r>
        <w:rPr>
          <w:sz w:val="22"/>
        </w:rPr>
        <w:t xml:space="preserve"> across 8. The graph draws both bars.</w:t>
      </w:r>
    </w:p>
    <w:p>
      <w:pPr>
        <w:spacing w:before="240" w:after="100"/>
        <w:rPr>
          <w:sz w:val="24"/>
          <w:b/>
        </w:rPr>
      </w:pPr>
      <w:r>
        <w:rPr>
          <w:sz w:val="24"/>
          <w:b/>
        </w:rPr>
        <w:t xml:space="preserve">November — the same account, minutes later</w:t>
      </w:r>
    </w:p>
    <w:p>
      <w:pPr>
        <w:spacing w:before="80" w:after="200"/>
      </w:pPr>
      <w:r>
        <w:drawing>
          <wp:inline distT="0" distB="0" distL="0" distR="0">
            <wp:extent cx="5943600" cy="3714750"/>
            <wp:docPr id="119" name="Picture 119"/>
            <a:graphic xmlns:a="http://schemas.openxmlformats.org/drawingml/2006/main">
              <a:graphicData uri="http://schemas.openxmlformats.org/drawingml/2006/picture">
                <pic:pic xmlns:pic="http://schemas.openxmlformats.org/drawingml/2006/picture">
                  <pic:nvPicPr>
                    <pic:cNvPr id="119" name="Picture"/>
                    <pic:cNvPicPr/>
                  </pic:nvPicPr>
                  <pic:blipFill>
                    <a:blip r:embed="rId119"/>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Same merchant. Same data in the system. The clock has been moved forward and the range rebuilt.</w:t>
      </w:r>
    </w:p>
    <w:p>
      <w:pPr>
        <w:spacing w:before="0" w:after="120"/>
        <w:rPr>
          <w:sz w:val="22"/>
        </w:rPr>
      </w:pPr>
      <w:r>
        <w:rPr>
          <w:sz w:val="22"/>
          <w:b/>
        </w:rPr>
        <w:t xml:space="preserve">Every row now reads `$0.00` and `0`.</w:t>
      </w:r>
      <w:r>
        <w:rPr>
          <w:sz w:val="22"/>
        </w:rPr>
        <w:t xml:space="preserve"> The graph is empty.</w:t>
      </w:r>
    </w:p>
    <w:p>
      <w:pPr>
        <w:spacing w:before="0" w:after="120"/>
        <w:rPr>
          <w:sz w:val="22"/>
        </w:rPr>
      </w:pPr>
      <w:r>
        <w:rPr>
          <w:sz w:val="22"/>
        </w:rPr>
        <w:t xml:space="preserve">The date boxes read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 boxed in orange, and entirely reasonable. There is no toast, no banner and no empty-state message. The page looks like it worked.</w:t>
      </w:r>
    </w:p>
    <w:p>
      <w:pPr>
        <w:spacing w:before="280" w:after="120"/>
        <w:rPr>
          <w:sz w:val="28"/>
          <w:b/>
        </w:rPr>
      </w:pPr>
      <w:r>
        <w:rPr>
          <w:sz w:val="28"/>
          <w:b/>
        </w:rPr>
        <w:t xml:space="preserve">Impact</w:t>
      </w:r>
    </w:p>
    <w:p>
      <w:pPr>
        <w:spacing w:before="0" w:after="120"/>
        <w:rPr>
          <w:sz w:val="22"/>
        </w:rPr>
      </w:pPr>
      <w:r>
        <w:rPr>
          <w:sz w:val="22"/>
        </w:rPr>
        <w:t xml:space="preserve">For three months of the year, every merchant on every gateway opens Payment Stats and is told they took no payments.</w:t>
      </w:r>
    </w:p>
    <w:p>
      <w:pPr>
        <w:spacing w:before="0" w:after="120"/>
        <w:rPr>
          <w:sz w:val="22"/>
        </w:rPr>
      </w:pPr>
      <w:r>
        <w:rPr>
          <w:sz w:val="22"/>
        </w:rPr>
        <w:t xml:space="preserve">The obvious conclusion is that business stopped. The figures are not marked as unavailable or stale — they are presented as the answer. A merchant reconciling their month, or checking whether a busy day landed, gets zero and has no reason to doubt it.</w:t>
      </w:r>
    </w:p>
    <w:p>
      <w:pPr>
        <w:spacing w:before="0" w:after="120"/>
        <w:rPr>
          <w:sz w:val="22"/>
        </w:rPr>
      </w:pPr>
      <w:r>
        <w:rPr>
          <w:sz w:val="22"/>
        </w:rPr>
        <w:t xml:space="preserve">It affects everyone at once, on the same day, without warning. Support will not get one call, it will get a great many, and the page will offer no clue as to why.</w:t>
      </w:r>
    </w:p>
    <w:p>
      <w:pPr>
        <w:spacing w:before="0" w:after="120"/>
        <w:rPr>
          <w:sz w:val="22"/>
        </w:rPr>
      </w:pPr>
      <w:r>
        <w:rPr>
          <w:sz w:val="22"/>
          <w:b/>
        </w:rPr>
        <w:t xml:space="preserve">Workaround:</w:t>
      </w:r>
      <w:r>
        <w:rPr>
          <w:sz w:val="22"/>
        </w:rPr>
        <w:t xml:space="preserve"> setting the dates by hand works. The picker writes a correctly formatted value; only the range the page builds on its own is affected. Merchants will not know to do this.</w:t>
      </w:r>
    </w:p>
    <w:p>
      <w:pPr>
        <w:spacing w:before="280" w:after="120"/>
        <w:rPr>
          <w:sz w:val="28"/>
          <w:b/>
        </w:rPr>
      </w:pPr>
      <w:r>
        <w:rPr>
          <w:sz w:val="28"/>
          <w:b/>
        </w:rPr>
        <w:t xml:space="preserve">Notes for the developer</w:t>
      </w:r>
    </w:p>
    <w:p>
      <w:pPr>
        <w:spacing w:before="0" w:after="80"/>
        <w:ind w:left="360"/>
        <w:rPr>
          <w:sz w:val="22"/>
        </w:rPr>
      </w:pPr>
      <w:r>
        <w:rPr>
          <w:sz w:val="22"/>
        </w:rPr>
        <w:t xml:space="preserve">• The fault is a hard-coded </w:t>
      </w:r>
      <w:r>
        <w:rPr>
          <w:sz w:val="22"/>
          <w:rFonts w:ascii="Consolas" w:hAnsi="Consolas"/>
          <w:sz w:val="20"/>
        </w:rPr>
        <w:t xml:space="preserve">0</w:t>
      </w:r>
      <w:r>
        <w:rPr>
          <w:sz w:val="22"/>
        </w:rPr>
        <w:t xml:space="preserve"> in front of the month rather than padding to two digits. Pad the month, and pad the day for the same reason — the December value shows the day losing its leading zero too.</w:t>
      </w:r>
    </w:p>
    <w:p>
      <w:pPr>
        <w:spacing w:before="0" w:after="80"/>
        <w:ind w:left="360"/>
        <w:rPr>
          <w:sz w:val="22"/>
        </w:rPr>
      </w:pPr>
      <w:r>
        <w:rPr>
          <w:sz w:val="22"/>
        </w:rPr>
        <w:t xml:space="preserve">• Check everywhere the default range is built, not just the first occurrence. October is milder than November because only one of the two dates is wrong, which means the two ends of the range are built in different places.</w:t>
      </w:r>
    </w:p>
    <w:p>
      <w:pPr>
        <w:spacing w:before="0" w:after="80"/>
        <w:ind w:left="360"/>
        <w:rPr>
          <w:sz w:val="22"/>
        </w:rPr>
      </w:pPr>
      <w:r>
        <w:rPr>
          <w:sz w:val="22"/>
        </w:rPr>
        <w:t xml:space="preserve">• The date pickers are not involved and do not need changing. They were correct in every month tested.</w:t>
      </w:r>
    </w:p>
    <w:p>
      <w:pPr>
        <w:spacing w:before="0" w:after="80"/>
        <w:ind w:left="360"/>
        <w:rPr>
          <w:sz w:val="22"/>
        </w:rPr>
      </w:pPr>
      <w:r>
        <w:rPr>
          <w:sz w:val="22"/>
        </w:rPr>
        <w:t xml:space="preserve">• Worth deciding separately what the page should do when a request comes back with nothing. Showing zeros with no message is what turns this from a wrong date into a merchant believing they took no money.</w:t>
      </w:r>
    </w:p>
    <w:p>
      <w:pPr>
        <w:spacing w:before="0" w:after="80"/>
        <w:ind w:left="360"/>
        <w:rPr>
          <w:sz w:val="22"/>
        </w:rPr>
      </w:pPr>
      <w:r>
        <w:rPr>
          <w:sz w:val="22"/>
        </w:rPr>
        <w:t xml:space="preserve">• Three automated tests cover this, one per month, by moving the browser clock. They are in </w:t>
      </w:r>
      <w:r>
        <w:rPr>
          <w:sz w:val="22"/>
          <w:rFonts w:ascii="Consolas" w:hAnsi="Consolas"/>
          <w:sz w:val="20"/>
        </w:rPr>
        <w:t xml:space="preserve">tests/customer/payment-analytics/payment-analytics.spec.ts</w:t>
      </w:r>
      <w:r>
        <w:rPr>
          <w:sz w:val="22"/>
        </w:rPr>
        <w:t xml:space="preserve"> under </w:t>
      </w:r>
      <w:r>
        <w:rPr>
          <w:sz w:val="22"/>
          <w:rFonts w:ascii="Consolas" w:hAnsi="Consolas"/>
          <w:sz w:val="20"/>
        </w:rPr>
        <w:t xml:space="preserve">@PS-NEG-12</w:t>
      </w:r>
      <w:r>
        <w:rPr>
          <w:sz w:val="22"/>
        </w:rPr>
        <w:t xml:space="preserve"> and are marked expected-fail.</w:t>
      </w:r>
    </w:p>
    <w:p>
      <w:pPr>
        <w:spacing w:before="280" w:after="120"/>
        <w:rPr>
          <w:sz w:val="28"/>
          <w:b/>
        </w:rPr>
      </w:pPr>
      <w:r>
        <w:rPr>
          <w:sz w:val="28"/>
          <w:b/>
        </w:rPr>
        <w:t xml:space="preserve">How to tell it is fixed</w:t>
      </w:r>
    </w:p>
    <w:p>
      <w:pPr>
        <w:spacing w:before="0" w:after="120"/>
        <w:rPr>
          <w:sz w:val="22"/>
        </w:rPr>
      </w:pPr>
      <w:r>
        <w:rPr>
          <w:sz w:val="22"/>
        </w:rPr>
        <w:t xml:space="preserve">With the machine clock set to any date in October, November and December in turn:</w:t>
      </w:r>
    </w:p>
    <w:p>
      <w:pPr>
        <w:spacing w:before="0" w:after="120"/>
        <w:rPr>
          <w:sz w:val="22"/>
        </w:rPr>
      </w:pPr>
      <w:r>
        <w:rPr>
          <w:sz w:val="22"/>
        </w:rPr>
        <w:t xml:space="preserve">1. Open Payment Stats and rebuild the default range with the refresh icon. 2. The figures must match what the same account shows for an equivalent range in September. 3. Both date boxes must still read a valid date.</w:t>
      </w:r>
    </w:p>
    <w:p>
      <w:pPr>
        <w:spacing w:before="0" w:after="120"/>
        <w:rPr>
          <w:sz w:val="22"/>
        </w:rPr>
      </w:pPr>
      <w:r>
        <w:rPr>
          <w:sz w:val="22"/>
        </w:rPr>
        <w:t xml:space="preserve">All three months must pass. October alone is not enough, because it fails differently from the other two.</w:t>
      </w:r>
    </w:p>
    <w:p>
      <w:pPr>
        <w:spacing w:before="0" w:after="200"/>
        <w:rPr>
          <w:sz w:val="36"/>
          <w:b/>
        </w:rPr>
      </w:pPr>
      <w:r>
        <w:rPr>
          <w:sz w:val="36"/>
          <w:b/>
        </w:rPr>
        <w:t xml:space="preserve">10. PS-SUB-01 — Submit runs with no start date and returns figures for an unknown period</w:t>
      </w:r>
    </w:p>
    <w:p>
      <w:pPr>
        <w:spacing w:before="0" w:after="120"/>
        <w:rPr>
          <w:sz w:val="22"/>
        </w:rPr>
      </w:pPr>
      <w:r>
        <w:rPr>
          <w:sz w:val="22"/>
          <w:b/>
        </w:rPr>
        <w:t xml:space="preserve">Test case:</w:t>
      </w:r>
      <w:r>
        <w:rPr>
          <w:sz w:val="22"/>
        </w:rPr>
        <w:t xml:space="preserve"> PS-SUB-01 </w:t>
      </w:r>
      <w:r>
        <w:rPr>
          <w:sz w:val="22"/>
          <w:b/>
        </w:rPr>
        <w:t xml:space="preserve">Priority:</w:t>
      </w:r>
      <w:r>
        <w:rPr>
          <w:sz w:val="22"/>
        </w:rPr>
        <w:t xml:space="preserve"> Medium </w:t>
      </w:r>
      <w:r>
        <w:rPr>
          <w:sz w:val="22"/>
          <w:b/>
        </w:rPr>
        <w:t xml:space="preserve">Gateways:</w:t>
      </w:r>
      <w:r>
        <w:rPr>
          <w:sz w:val="22"/>
        </w:rPr>
        <w:t xml:space="preserve"> all — measured on IPG </w:t>
      </w:r>
      <w:r>
        <w:rPr>
          <w:sz w:val="22"/>
          <w:b/>
        </w:rPr>
        <w:t xml:space="preserve">Date observed:</w:t>
      </w:r>
      <w:r>
        <w:rPr>
          <w:sz w:val="22"/>
        </w:rPr>
        <w:t xml:space="preserve"> 17 September 2026, re-confirmed 24 September 2026</w:t>
      </w:r>
    </w:p>
    <w:p>
      <w:pPr>
        <w:spacing w:before="280" w:after="120"/>
        <w:rPr>
          <w:sz w:val="28"/>
          <w:b/>
        </w:rPr>
      </w:pPr>
      <w:r>
        <w:rPr>
          <w:sz w:val="28"/>
          <w:b/>
        </w:rPr>
        <w:t xml:space="preserve">Summary</w:t>
      </w:r>
    </w:p>
    <w:p>
      <w:pPr>
        <w:spacing w:before="0" w:after="120"/>
        <w:rPr>
          <w:sz w:val="22"/>
        </w:rPr>
      </w:pPr>
      <w:r>
        <w:rPr>
          <w:sz w:val="22"/>
        </w:rPr>
        <w:t xml:space="preserve">The From Date box can be cleared. Submit stays enabled. Pressing it runs the query anyway and the page fills with figures.</w:t>
      </w:r>
    </w:p>
    <w:p>
      <w:pPr>
        <w:spacing w:before="0" w:after="120"/>
        <w:rPr>
          <w:sz w:val="22"/>
        </w:rPr>
      </w:pPr>
      <w:r>
        <w:rPr>
          <w:sz w:val="22"/>
        </w:rPr>
        <w:t xml:space="preserve">Those figures cover some period, but the merchant is not told which. The box that would say so is empty.</w:t>
      </w:r>
    </w:p>
    <w:p>
      <w:pPr>
        <w:spacing w:before="280" w:after="120"/>
        <w:rPr>
          <w:sz w:val="28"/>
          <w:b/>
        </w:rPr>
      </w:pPr>
      <w:r>
        <w:rPr>
          <w:sz w:val="28"/>
          <w:b/>
        </w:rPr>
        <w:t xml:space="preserve">Steps to reproduce</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2. Clear the </w:t>
      </w:r>
      <w:r>
        <w:rPr>
          <w:sz w:val="22"/>
          <w:b/>
        </w:rPr>
        <w:t xml:space="preserve">From Date</w:t>
      </w:r>
      <w:r>
        <w:rPr>
          <w:sz w:val="22"/>
        </w:rPr>
        <w:t xml:space="preserve"> box completely. 3. Look at the </w:t>
      </w:r>
      <w:r>
        <w:rPr>
          <w:sz w:val="22"/>
          <w:b/>
        </w:rPr>
        <w:t xml:space="preserve">Submit</w:t>
      </w:r>
      <w:r>
        <w:rPr>
          <w:sz w:val="22"/>
        </w:rPr>
        <w:t xml:space="preserve"> button. 4. Press it.</w:t>
      </w:r>
    </w:p>
    <w:p>
      <w:pPr>
        <w:spacing w:before="280" w:after="120"/>
        <w:rPr>
          <w:sz w:val="28"/>
          <w:b/>
        </w:rPr>
      </w:pPr>
      <w:r>
        <w:rPr>
          <w:sz w:val="28"/>
          <w:b/>
        </w:rPr>
        <w:t xml:space="preserve">Expected result</w:t>
      </w:r>
    </w:p>
    <w:p>
      <w:pPr>
        <w:spacing w:before="0" w:after="120"/>
        <w:rPr>
          <w:sz w:val="22"/>
        </w:rPr>
      </w:pPr>
      <w:r>
        <w:rPr>
          <w:sz w:val="22"/>
        </w:rPr>
        <w:t xml:space="preserve">Submit is unavailable while a required date is missing. The merchant is stopped before they can ask a question the page cannot answer.</w:t>
      </w:r>
    </w:p>
    <w:p>
      <w:pPr>
        <w:spacing w:before="0" w:after="120"/>
        <w:rPr>
          <w:sz w:val="22"/>
        </w:rPr>
      </w:pPr>
      <w:r>
        <w:rPr>
          <w:sz w:val="22"/>
        </w:rPr>
        <w:t xml:space="preserve">If the button is to stay available, the page must say what range it used.</w:t>
      </w:r>
    </w:p>
    <w:p>
      <w:pPr>
        <w:spacing w:before="280" w:after="120"/>
        <w:rPr>
          <w:sz w:val="28"/>
          <w:b/>
        </w:rPr>
      </w:pPr>
      <w:r>
        <w:rPr>
          <w:sz w:val="28"/>
          <w:b/>
        </w:rPr>
        <w:t xml:space="preserve">Actual result</w:t>
      </w:r>
    </w:p>
    <w:p>
      <w:pPr>
        <w:spacing w:before="0" w:after="120"/>
        <w:rPr>
          <w:sz w:val="22"/>
        </w:rPr>
      </w:pPr>
      <w:r>
        <w:rPr>
          <w:sz w:val="22"/>
        </w:rPr>
        <w:t xml:space="preserve">Submit stays enabled, accepts the click, and the page returns a full set of figures with From Date still empty.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State</w:t>
            </w:r>
          </w:p>
        </w:tc>
        <w:tc>
          <w:tcPr>
            <w:tcW w:w="3120" w:type="dxa"/>
            <w:shd w:val="clear" w:fill="F2F2F2"/>
          </w:tcPr>
          <w:p>
            <w:pPr>
              <w:spacing w:before="40" w:after="40"/>
            </w:pPr>
            <w:r>
              <w:rPr>
                <w:sz w:val="20"/>
                <w:b/>
              </w:rPr>
              <w:t xml:space="preserve">Submit</w:t>
            </w:r>
          </w:p>
        </w:tc>
        <w:tc>
          <w:tcPr>
            <w:tcW w:w="3120" w:type="dxa"/>
            <w:shd w:val="clear" w:fill="F2F2F2"/>
          </w:tcPr>
          <w:p>
            <w:pPr>
              <w:spacing w:before="40" w:after="40"/>
            </w:pPr>
            <w:r>
              <w:rPr>
                <w:sz w:val="20"/>
                <w:b/>
              </w:rPr>
              <w:t xml:space="preserve">disabled attribute</w:t>
            </w:r>
          </w:p>
        </w:tc>
      </w:tr>
      <w:tr>
        <w:tc>
          <w:tcPr>
            <w:tcW w:w="3120" w:type="dxa"/>
          </w:tcPr>
          <w:p>
            <w:pPr>
              <w:spacing w:before="40" w:after="40"/>
            </w:pPr>
            <w:r>
              <w:rPr>
                <w:sz w:val="20"/>
              </w:rPr>
              <w:t xml:space="preserve">On load, both dates filled</w:t>
            </w:r>
          </w:p>
        </w:tc>
        <w:tc>
          <w:tcPr>
            <w:tcW w:w="3120" w:type="dxa"/>
          </w:tcPr>
          <w:p>
            <w:pPr>
              <w:spacing w:before="40" w:after="40"/>
            </w:pPr>
            <w:r>
              <w:rPr>
                <w:sz w:val="20"/>
              </w:rPr>
              <w:t xml:space="preserve">enabled</w:t>
            </w:r>
          </w:p>
        </w:tc>
        <w:tc>
          <w:tcPr>
            <w:tcW w:w="3120" w:type="dxa"/>
          </w:tcPr>
          <w:p>
            <w:pPr>
              <w:spacing w:before="40" w:after="40"/>
            </w:pPr>
            <w:r>
              <w:rPr>
                <w:sz w:val="20"/>
              </w:rPr>
              <w:t xml:space="preserve">absent</w:t>
            </w:r>
          </w:p>
        </w:tc>
      </w:tr>
      <w:tr>
        <w:tc>
          <w:tcPr>
            <w:tcW w:w="3120" w:type="dxa"/>
          </w:tcPr>
          <w:p>
            <w:pPr>
              <w:spacing w:before="40" w:after="40"/>
            </w:pPr>
            <w:r>
              <w:rPr>
                <w:sz w:val="20"/>
              </w:rPr>
              <w:t xml:space="preserve">From Date cleared</w:t>
            </w:r>
          </w:p>
        </w:tc>
        <w:tc>
          <w:tcPr>
            <w:tcW w:w="3120" w:type="dxa"/>
          </w:tcPr>
          <w:p>
            <w:pPr>
              <w:spacing w:before="40" w:after="40"/>
            </w:pPr>
            <w:r>
              <w:rPr>
                <w:sz w:val="20"/>
              </w:rPr>
              <w:t xml:space="preserve">enabled</w:t>
            </w:r>
          </w:p>
        </w:tc>
        <w:tc>
          <w:tcPr>
            <w:tcW w:w="3120" w:type="dxa"/>
          </w:tcPr>
          <w:p>
            <w:pPr>
              <w:spacing w:before="40" w:after="40"/>
            </w:pPr>
            <w:r>
              <w:rPr>
                <w:sz w:val="20"/>
              </w:rPr>
              <w:t xml:space="preserve">absent</w:t>
            </w:r>
          </w:p>
        </w:tc>
      </w:tr>
    </w:tbl>
    <w:p>
      <w:pPr>
        <w:spacing w:after="120"/>
      </w:pPr>
    </w:p>
    <w:p>
      <w:pPr>
        <w:spacing w:before="0" w:after="120"/>
        <w:rPr>
          <w:sz w:val="22"/>
        </w:rPr>
      </w:pPr>
      <w:r>
        <w:rPr>
          <w:sz w:val="22"/>
        </w:rPr>
        <w:t xml:space="preserve">The button is not merely styled as though it were available. The </w:t>
      </w:r>
      <w:r>
        <w:rPr>
          <w:sz w:val="22"/>
          <w:rFonts w:ascii="Consolas" w:hAnsi="Consolas"/>
          <w:sz w:val="20"/>
        </w:rPr>
        <w:t xml:space="preserve">disabled</w:t>
      </w:r>
      <w:r>
        <w:rPr>
          <w:sz w:val="22"/>
        </w:rPr>
        <w:t xml:space="preserve"> attribute is absent, the click lands, and a query runs.</w:t>
      </w:r>
    </w:p>
    <w:p>
      <w:pPr>
        <w:spacing w:before="280" w:after="120"/>
        <w:rPr>
          <w:sz w:val="28"/>
          <w:b/>
        </w:rPr>
      </w:pPr>
      <w:r>
        <w:rPr>
          <w:sz w:val="28"/>
          <w:b/>
        </w:rPr>
        <w:t xml:space="preserve">Evidence</w:t>
      </w:r>
    </w:p>
    <w:p>
      <w:pPr>
        <w:spacing w:before="240" w:after="100"/>
        <w:rPr>
          <w:sz w:val="24"/>
          <w:b/>
        </w:rPr>
      </w:pPr>
      <w:r>
        <w:rPr>
          <w:sz w:val="24"/>
          <w:b/>
        </w:rPr>
        <w:t xml:space="preserve">Normal — both dates filled</w:t>
      </w:r>
    </w:p>
    <w:p>
      <w:pPr>
        <w:spacing w:before="80" w:after="200"/>
      </w:pPr>
      <w:r>
        <w:drawing>
          <wp:inline distT="0" distB="0" distL="0" distR="0">
            <wp:extent cx="5943600" cy="2823210"/>
            <wp:docPr id="120" name="Picture 120"/>
            <a:graphic xmlns:a="http://schemas.openxmlformats.org/drawingml/2006/main">
              <a:graphicData uri="http://schemas.openxmlformats.org/drawingml/2006/picture">
                <pic:pic xmlns:pic="http://schemas.openxmlformats.org/drawingml/2006/picture">
                  <pic:nvPicPr>
                    <pic:cNvPr id="120" name="Picture"/>
                    <pic:cNvPicPr/>
                  </pic:nvPicPr>
                  <pic:blipFill>
                    <a:blip r:embed="rId120"/>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Submit is enabled, which is correct in this state.</w:t>
      </w:r>
    </w:p>
    <w:p>
      <w:pPr>
        <w:spacing w:before="240" w:after="100"/>
        <w:rPr>
          <w:sz w:val="24"/>
          <w:b/>
        </w:rPr>
      </w:pPr>
      <w:r>
        <w:rPr>
          <w:sz w:val="24"/>
          <w:b/>
        </w:rPr>
        <w:t xml:space="preserve">From Date cleared — Submit unchanged</w:t>
      </w:r>
    </w:p>
    <w:p>
      <w:pPr>
        <w:spacing w:before="80" w:after="200"/>
      </w:pPr>
      <w:r>
        <w:drawing>
          <wp:inline distT="0" distB="0" distL="0" distR="0">
            <wp:extent cx="5943600" cy="2823210"/>
            <wp:docPr id="121" name="Picture 121"/>
            <a:graphic xmlns:a="http://schemas.openxmlformats.org/drawingml/2006/main">
              <a:graphicData uri="http://schemas.openxmlformats.org/drawingml/2006/picture">
                <pic:pic xmlns:pic="http://schemas.openxmlformats.org/drawingml/2006/picture">
                  <pic:nvPicPr>
                    <pic:cNvPr id="121" name="Picture"/>
                    <pic:cNvPicPr/>
                  </pic:nvPicPr>
                  <pic:blipFill>
                    <a:blip r:embed="rId121"/>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The From Date box is empty. Submit looks and behaves exactly as it did a moment ago.</w:t>
      </w:r>
    </w:p>
    <w:p>
      <w:pPr>
        <w:spacing w:before="240" w:after="100"/>
        <w:rPr>
          <w:sz w:val="24"/>
          <w:b/>
        </w:rPr>
      </w:pPr>
      <w:r>
        <w:rPr>
          <w:sz w:val="24"/>
          <w:b/>
        </w:rPr>
        <w:t xml:space="preserve">After pressing Submit</w:t>
      </w:r>
    </w:p>
    <w:p>
      <w:pPr>
        <w:spacing w:before="80" w:after="200"/>
      </w:pPr>
      <w:r>
        <w:drawing>
          <wp:inline distT="0" distB="0" distL="0" distR="0">
            <wp:extent cx="5943600" cy="2823210"/>
            <wp:docPr id="122" name="Picture 122"/>
            <a:graphic xmlns:a="http://schemas.openxmlformats.org/drawingml/2006/main">
              <a:graphicData uri="http://schemas.openxmlformats.org/drawingml/2006/picture">
                <pic:pic xmlns:pic="http://schemas.openxmlformats.org/drawingml/2006/picture">
                  <pic:nvPicPr>
                    <pic:cNvPr id="122" name="Picture"/>
                    <pic:cNvPicPr/>
                  </pic:nvPicPr>
                  <pic:blipFill>
                    <a:blip r:embed="rId122"/>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The query ran. Card Payments reads </w:t>
      </w:r>
      <w:r>
        <w:rPr>
          <w:sz w:val="22"/>
          <w:rFonts w:ascii="Consolas" w:hAnsi="Consolas"/>
          <w:sz w:val="20"/>
        </w:rPr>
        <w:t xml:space="preserve">$44,903.20</w:t>
      </w:r>
      <w:r>
        <w:rPr>
          <w:sz w:val="22"/>
        </w:rPr>
        <w:t xml:space="preserve"> across 708 payments.</w:t>
      </w:r>
    </w:p>
    <w:p>
      <w:pPr>
        <w:spacing w:before="0" w:after="120"/>
        <w:rPr>
          <w:sz w:val="22"/>
        </w:rPr>
      </w:pPr>
      <w:r>
        <w:rPr>
          <w:sz w:val="22"/>
        </w:rPr>
        <w:t xml:space="preserve">The From Date box, boxed in red, is still empty. Nothing anywhere on the page says what period those figures cover.</w:t>
      </w:r>
    </w:p>
    <w:p>
      <w:pPr>
        <w:spacing w:before="280" w:after="120"/>
        <w:rPr>
          <w:sz w:val="28"/>
          <w:b/>
        </w:rPr>
      </w:pPr>
      <w:r>
        <w:rPr>
          <w:sz w:val="28"/>
          <w:b/>
        </w:rPr>
        <w:t xml:space="preserve">What pins the cause</w:t>
      </w:r>
    </w:p>
    <w:p>
      <w:pPr>
        <w:spacing w:before="0" w:after="120"/>
        <w:rPr>
          <w:sz w:val="22"/>
        </w:rPr>
      </w:pPr>
      <w:r>
        <w:rPr>
          <w:sz w:val="22"/>
        </w:rPr>
        <w:t xml:space="preserve">This is not missing logic. The logic exists and is simply never applied.</w:t>
      </w:r>
    </w:p>
    <w:p>
      <w:pPr>
        <w:spacing w:before="0" w:after="120"/>
        <w:rPr>
          <w:sz w:val="22"/>
        </w:rPr>
      </w:pPr>
      <w:r>
        <w:rPr>
          <w:sz w:val="22"/>
          <w:rFonts w:ascii="Consolas" w:hAnsi="Consolas"/>
          <w:sz w:val="20"/>
        </w:rPr>
        <w:t xml:space="preserve">isSubmitButtonDisabled</w:t>
      </w:r>
      <w:r>
        <w:rPr>
          <w:sz w:val="22"/>
        </w:rPr>
        <w:t xml:space="preserve"> is declared at </w:t>
      </w:r>
      <w:r>
        <w:rPr>
          <w:sz w:val="22"/>
          <w:rFonts w:ascii="Consolas" w:hAnsi="Consolas"/>
          <w:sz w:val="20"/>
        </w:rPr>
        <w:t xml:space="preserve">index.js:86</w:t>
      </w:r>
      <w:r>
        <w:rPr>
          <w:sz w:val="22"/>
        </w:rPr>
        <w:t xml:space="preserve"> and kept up to date in five separate places. The line that would use it is commented out:</w:t>
      </w:r>
    </w:p>
    <w:p>
      <w:pPr>
        <w:spacing w:before="0" w:after="120"/>
        <w:rPr>
          <w:sz w:val="22"/>
        </w:rPr>
      </w:pPr>
      <w:r>
        <w:rPr>
          <w:sz w:val="22"/>
          <w:rFonts w:ascii="Consolas" w:hAnsi="Consolas"/>
          <w:sz w:val="20"/>
        </w:rPr>
        <w:t xml:space="preserve"/>
      </w:r>
      <w:r>
        <w:rPr>
          <w:sz w:val="22"/>
          <w:rFonts w:ascii="Consolas" w:hAnsi="Consolas"/>
          <w:sz w:val="20"/>
        </w:rPr>
        <w:t xml:space="preserve"> // disabled={isSubmitButtonDisabled} </w:t>
      </w:r>
      <w:r>
        <w:rPr>
          <w:sz w:val="22"/>
          <w:rFonts w:ascii="Consolas" w:hAnsi="Consolas"/>
          <w:sz w:val="20"/>
        </w:rPr>
        <w:t xml:space="preserve"/>
      </w:r>
    </w:p>
    <w:p>
      <w:pPr>
        <w:spacing w:before="0" w:after="120"/>
        <w:rPr>
          <w:sz w:val="22"/>
        </w:rPr>
      </w:pPr>
      <w:r>
        <w:rPr>
          <w:sz w:val="22"/>
        </w:rPr>
        <w:t xml:space="preserve">at </w:t>
      </w:r>
      <w:r>
        <w:rPr>
          <w:sz w:val="22"/>
          <w:rFonts w:ascii="Consolas" w:hAnsi="Consolas"/>
          <w:sz w:val="20"/>
        </w:rPr>
        <w:t xml:space="preserve">index.js:606</w:t>
      </w:r>
      <w:r>
        <w:rPr>
          <w:sz w:val="22"/>
        </w:rPr>
        <w:t xml:space="preserve">. Removing the comment markers is the whole fix.</w:t>
      </w:r>
    </w:p>
    <w:p>
      <w:pPr>
        <w:spacing w:before="280" w:after="120"/>
        <w:rPr>
          <w:sz w:val="28"/>
          <w:b/>
        </w:rPr>
      </w:pPr>
      <w:r>
        <w:rPr>
          <w:sz w:val="28"/>
          <w:b/>
        </w:rPr>
        <w:t xml:space="preserve">A state that cannot be reached, and is not part of this</w:t>
      </w:r>
    </w:p>
    <w:p>
      <w:pPr>
        <w:spacing w:before="0" w:after="120"/>
        <w:rPr>
          <w:sz w:val="22"/>
        </w:rPr>
      </w:pPr>
      <w:r>
        <w:rPr>
          <w:sz w:val="22"/>
        </w:rPr>
        <w:t xml:space="preserve">An inverted range — From Date later than To Date — was also tried, but only by typing a date past the picker's minimum. The To Date calendar greys out every day before the current From Date, so a merchant cannot produce that state through the UI. It is not part of this report.</w:t>
      </w:r>
    </w:p>
    <w:p>
      <w:pPr>
        <w:spacing w:before="280" w:after="120"/>
        <w:rPr>
          <w:sz w:val="28"/>
          <w:b/>
        </w:rPr>
      </w:pPr>
      <w:r>
        <w:rPr>
          <w:sz w:val="28"/>
          <w:b/>
        </w:rPr>
        <w:t xml:space="preserve">Impact</w:t>
      </w:r>
    </w:p>
    <w:p>
      <w:pPr>
        <w:spacing w:before="0" w:after="120"/>
        <w:rPr>
          <w:sz w:val="22"/>
        </w:rPr>
      </w:pPr>
      <w:r>
        <w:rPr>
          <w:sz w:val="22"/>
        </w:rPr>
        <w:t xml:space="preserve">Low likelihood, and it does not corrupt anything. A merchant has to clear the box deliberately, and most will simply pick a new date instead.</w:t>
      </w:r>
    </w:p>
    <w:p>
      <w:pPr>
        <w:spacing w:before="0" w:after="120"/>
        <w:rPr>
          <w:sz w:val="22"/>
        </w:rPr>
      </w:pPr>
      <w:r>
        <w:rPr>
          <w:sz w:val="22"/>
        </w:rPr>
        <w:t xml:space="preserve">The reason it is worth fixing is the second half rather than the first. An enabled button that does nothing is a small annoyance. An enabled button that returns </w:t>
      </w:r>
      <w:r>
        <w:rPr>
          <w:sz w:val="22"/>
          <w:b/>
        </w:rPr>
        <w:t xml:space="preserve">figures for an unstated period</w:t>
      </w:r>
      <w:r>
        <w:rPr>
          <w:sz w:val="22"/>
        </w:rPr>
        <w:t xml:space="preserve"> is different — the merchant reads those numbers as an answer, with no way to know what was asked.</w:t>
      </w:r>
    </w:p>
    <w:p>
      <w:pPr>
        <w:spacing w:before="0" w:after="120"/>
        <w:rPr>
          <w:sz w:val="22"/>
        </w:rPr>
      </w:pPr>
      <w:r>
        <w:rPr>
          <w:sz w:val="22"/>
          <w:b/>
        </w:rPr>
        <w:t xml:space="preserve">Workaround:</w:t>
      </w:r>
      <w:r>
        <w:rPr>
          <w:sz w:val="22"/>
        </w:rPr>
        <w:t xml:space="preserve"> set a From Date. The figures are correct whenever both dates are filled.</w:t>
      </w:r>
    </w:p>
    <w:p>
      <w:pPr>
        <w:spacing w:before="280" w:after="120"/>
        <w:rPr>
          <w:sz w:val="28"/>
          <w:b/>
        </w:rPr>
      </w:pPr>
      <w:r>
        <w:rPr>
          <w:sz w:val="28"/>
          <w:b/>
        </w:rPr>
        <w:t xml:space="preserve">Notes for the developer</w:t>
      </w:r>
    </w:p>
    <w:p>
      <w:pPr>
        <w:spacing w:before="0" w:after="80"/>
        <w:ind w:left="360"/>
        <w:rPr>
          <w:sz w:val="22"/>
        </w:rPr>
      </w:pPr>
      <w:r>
        <w:rPr>
          <w:sz w:val="22"/>
        </w:rPr>
        <w:t xml:space="preserve">• Uncomment </w:t>
      </w:r>
      <w:r>
        <w:rPr>
          <w:sz w:val="22"/>
          <w:rFonts w:ascii="Consolas" w:hAnsi="Consolas"/>
          <w:sz w:val="20"/>
        </w:rPr>
        <w:t xml:space="preserve">disabled={isSubmitButtonDisabled}</w:t>
      </w:r>
      <w:r>
        <w:rPr>
          <w:sz w:val="22"/>
        </w:rPr>
        <w:t xml:space="preserve"> at </w:t>
      </w:r>
      <w:r>
        <w:rPr>
          <w:sz w:val="22"/>
          <w:rFonts w:ascii="Consolas" w:hAnsi="Consolas"/>
          <w:sz w:val="20"/>
        </w:rPr>
        <w:t xml:space="preserve">index.js:606</w:t>
      </w:r>
      <w:r>
        <w:rPr>
          <w:sz w:val="22"/>
        </w:rPr>
        <w:t xml:space="preserve">. The state it depends on is already maintained.</w:t>
      </w:r>
    </w:p>
    <w:p>
      <w:pPr>
        <w:spacing w:before="0" w:after="80"/>
        <w:ind w:left="360"/>
        <w:rPr>
          <w:sz w:val="22"/>
        </w:rPr>
      </w:pPr>
      <w:r>
        <w:rPr>
          <w:sz w:val="22"/>
        </w:rPr>
        <w:t xml:space="preserve">• Worth a look at why it was commented out. If it was disabling the button at the wrong moments, restoring it as-is will bring that behaviour back.</w:t>
      </w:r>
    </w:p>
    <w:p>
      <w:pPr>
        <w:spacing w:before="0" w:after="80"/>
        <w:ind w:left="360"/>
        <w:rPr>
          <w:sz w:val="22"/>
        </w:rPr>
      </w:pPr>
      <w:r>
        <w:rPr>
          <w:sz w:val="22"/>
        </w:rPr>
        <w:t xml:space="preserve">• Separately, decide what the page should send when a date is missing. It currently returns a result rather than refusing, which is what turns a disabled-button bug into figures a merchant can misread.</w:t>
      </w:r>
    </w:p>
    <w:p>
      <w:pPr>
        <w:spacing w:before="280" w:after="120"/>
        <w:rPr>
          <w:sz w:val="28"/>
          <w:b/>
        </w:rPr>
      </w:pPr>
      <w:r>
        <w:rPr>
          <w:sz w:val="28"/>
          <w:b/>
        </w:rPr>
        <w:t xml:space="preserve">How to tell it is fixed</w:t>
      </w:r>
    </w:p>
    <w:p>
      <w:pPr>
        <w:spacing w:before="0" w:after="120"/>
        <w:rPr>
          <w:sz w:val="22"/>
        </w:rPr>
      </w:pPr>
      <w:r>
        <w:rPr>
          <w:sz w:val="22"/>
        </w:rPr>
        <w:t xml:space="preserve">1. Open Payment Stats and clear the From Date box. 2. Submit must be visibly unavailable and must not respond to a click. 3. Refill the date. Submit must become available again. 4. Repeat for the To Date box.</w:t>
      </w:r>
    </w:p>
    <w:p>
      <w:pPr>
        <w:spacing w:before="0" w:after="200"/>
        <w:rPr>
          <w:sz w:val="36"/>
          <w:b/>
        </w:rPr>
      </w:pPr>
      <w:r>
        <w:rPr>
          <w:sz w:val="36"/>
          <w:b/>
        </w:rPr>
        <w:t xml:space="preserve">11. PS-SUB-07 — every request carries the same identifier, so calls cannot be told apart</w:t>
      </w:r>
    </w:p>
    <w:p>
      <w:pPr>
        <w:spacing w:before="0" w:after="120"/>
        <w:rPr>
          <w:sz w:val="22"/>
        </w:rPr>
      </w:pPr>
      <w:r>
        <w:rPr>
          <w:sz w:val="22"/>
          <w:b/>
        </w:rPr>
        <w:t xml:space="preserve">Test case:</w:t>
      </w:r>
      <w:r>
        <w:rPr>
          <w:sz w:val="22"/>
        </w:rPr>
        <w:t xml:space="preserve"> PS-SUB-07 </w:t>
      </w:r>
      <w:r>
        <w:rPr>
          <w:sz w:val="22"/>
          <w:b/>
        </w:rPr>
        <w:t xml:space="preserve">Priority:</w:t>
      </w:r>
      <w:r>
        <w:rPr>
          <w:sz w:val="22"/>
        </w:rPr>
        <w:t xml:space="preserve"> Medium </w:t>
      </w:r>
      <w:r>
        <w:rPr>
          <w:sz w:val="22"/>
          <w:b/>
        </w:rPr>
        <w:t xml:space="preserve">Gateways:</w:t>
      </w:r>
      <w:r>
        <w:rPr>
          <w:sz w:val="22"/>
        </w:rPr>
        <w:t xml:space="preserve"> all — measured on IPG and BillPay </w:t>
      </w:r>
      <w:r>
        <w:rPr>
          <w:sz w:val="22"/>
          <w:b/>
        </w:rPr>
        <w:t xml:space="preserve">Date observed:</w:t>
      </w:r>
      <w:r>
        <w:rPr>
          <w:sz w:val="22"/>
        </w:rPr>
        <w:t xml:space="preserve"> 17 September 2026, re-confirmed 24 September 2026</w:t>
      </w:r>
    </w:p>
    <w:p>
      <w:pPr>
        <w:spacing w:before="0" w:after="120"/>
        <w:rPr>
          <w:sz w:val="22"/>
        </w:rPr>
      </w:pPr>
      <w:r>
        <w:rPr>
          <w:sz w:val="22"/>
        </w:rPr>
        <w:t xml:space="preserve">&gt; </w:t>
      </w:r>
      <w:r>
        <w:rPr>
          <w:sz w:val="22"/>
          <w:b/>
        </w:rPr>
        <w:t xml:space="preserve">There is nothing to see on screen for this one.</w:t>
      </w:r>
      <w:r>
        <w:rPr>
          <w:sz w:val="22"/>
        </w:rPr>
        <w:t xml:space="preserve"> The identifier has no surface anywhere &gt; in the page — nothing displays it and no control changes it. This section is written for &gt; whoever maintains the code and whoever reads the logs, not for a tester with a browser. &gt; That is also why it carries no screenshots: there is nothing a screenshot could show.</w:t>
      </w:r>
    </w:p>
    <w:p>
      <w:pPr>
        <w:spacing w:before="280" w:after="120"/>
        <w:rPr>
          <w:sz w:val="28"/>
          <w:b/>
        </w:rPr>
      </w:pPr>
      <w:r>
        <w:rPr>
          <w:sz w:val="28"/>
          <w:b/>
        </w:rPr>
        <w:t xml:space="preserve">Summary</w:t>
      </w:r>
    </w:p>
    <w:p>
      <w:pPr>
        <w:spacing w:before="0" w:after="120"/>
        <w:rPr>
          <w:sz w:val="22"/>
        </w:rPr>
      </w:pPr>
      <w:r>
        <w:rPr>
          <w:sz w:val="22"/>
        </w:rPr>
        <w:t xml:space="preserve">Every stats request the page makes carries an identifier meant to tell one call from another. It is the same number every time.</w:t>
      </w:r>
    </w:p>
    <w:p>
      <w:pPr>
        <w:spacing w:before="0" w:after="120"/>
        <w:rPr>
          <w:sz w:val="22"/>
        </w:rPr>
      </w:pPr>
      <w:r>
        <w:rPr>
          <w:sz w:val="22"/>
        </w:rPr>
        <w:t xml:space="preserve">It does not change between page loads, between date ranges, between merchants or between gateways. It is a constant written into the source.</w:t>
      </w:r>
    </w:p>
    <w:p>
      <w:pPr>
        <w:spacing w:before="0" w:after="120"/>
        <w:rPr>
          <w:sz w:val="22"/>
        </w:rPr>
      </w:pPr>
      <w:r>
        <w:rPr>
          <w:sz w:val="22"/>
        </w:rPr>
        <w:t xml:space="preserve">The consequence is in the logs rather than on the page. Two requests cannot be told apart, so a single call cannot be followed through.</w:t>
      </w:r>
    </w:p>
    <w:p>
      <w:pPr>
        <w:spacing w:before="280" w:after="120"/>
        <w:rPr>
          <w:sz w:val="28"/>
          <w:b/>
        </w:rPr>
      </w:pPr>
      <w:r>
        <w:rPr>
          <w:sz w:val="28"/>
          <w:b/>
        </w:rPr>
        <w:t xml:space="preserve">What was measured</w:t>
      </w:r>
    </w:p>
    <w:p>
      <w:pPr>
        <w:spacing w:before="0" w:after="120"/>
        <w:rPr>
          <w:sz w:val="22"/>
        </w:rPr>
      </w:pPr>
      <w:r>
        <w:rPr>
          <w:sz w:val="22"/>
        </w:rPr>
        <w:t xml:space="preserve">The same value appeared in every request, across two merchants a week apart: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When</w:t>
            </w:r>
          </w:p>
        </w:tc>
        <w:tc>
          <w:tcPr>
            <w:tcW w:w="3120" w:type="dxa"/>
            <w:shd w:val="clear" w:fill="F2F2F2"/>
          </w:tcPr>
          <w:p>
            <w:pPr>
              <w:spacing w:before="40" w:after="40"/>
            </w:pPr>
            <w:r>
              <w:rPr>
                <w:sz w:val="20"/>
                <w:b/>
              </w:rPr>
              <w:t xml:space="preserve">Gateway</w:t>
            </w:r>
          </w:p>
        </w:tc>
        <w:tc>
          <w:tcPr>
            <w:tcW w:w="3120" w:type="dxa"/>
            <w:shd w:val="clear" w:fill="F2F2F2"/>
          </w:tcPr>
          <w:p>
            <w:pPr>
              <w:spacing w:before="40" w:after="40"/>
            </w:pPr>
            <w:r>
              <w:rPr>
                <w:sz w:val="20"/>
                <w:b/>
              </w:rPr>
              <w:t xml:space="preserve">Value sent</w:t>
            </w:r>
          </w:p>
        </w:tc>
      </w:tr>
      <w:tr>
        <w:tc>
          <w:tcPr>
            <w:tcW w:w="3120" w:type="dxa"/>
          </w:tcPr>
          <w:p>
            <w:pPr>
              <w:spacing w:before="40" w:after="40"/>
            </w:pPr>
            <w:r>
              <w:rPr>
                <w:sz w:val="20"/>
              </w:rPr>
              <w:t xml:space="preserve">17 September 2026</w:t>
            </w:r>
          </w:p>
        </w:tc>
        <w:tc>
          <w:tcPr>
            <w:tcW w:w="3120" w:type="dxa"/>
          </w:tcPr>
          <w:p>
            <w:pPr>
              <w:spacing w:before="40" w:after="40"/>
            </w:pPr>
            <w:r>
              <w:rPr>
                <w:sz w:val="20"/>
              </w:rPr>
              <w:t xml:space="preserve">IPG</w:t>
            </w:r>
          </w:p>
        </w:tc>
        <w:tc>
          <w:tcPr>
            <w:tcW w:w="3120" w:type="dxa"/>
          </w:tcPr>
          <w:p>
            <w:pPr>
              <w:spacing w:before="40" w:after="40"/>
            </w:pPr>
            <w:r>
              <w:rPr>
                <w:sz w:val="20"/>
              </w:rPr>
              <w:t xml:space="preserve">1647602068707</w:t>
            </w:r>
          </w:p>
        </w:tc>
      </w:tr>
      <w:tr>
        <w:tc>
          <w:tcPr>
            <w:tcW w:w="3120" w:type="dxa"/>
          </w:tcPr>
          <w:p>
            <w:pPr>
              <w:spacing w:before="40" w:after="40"/>
            </w:pPr>
            <w:r>
              <w:rPr>
                <w:sz w:val="20"/>
              </w:rPr>
              <w:t xml:space="preserve">24 September 2026</w:t>
            </w:r>
          </w:p>
        </w:tc>
        <w:tc>
          <w:tcPr>
            <w:tcW w:w="3120" w:type="dxa"/>
          </w:tcPr>
          <w:p>
            <w:pPr>
              <w:spacing w:before="40" w:after="40"/>
            </w:pPr>
            <w:r>
              <w:rPr>
                <w:sz w:val="20"/>
              </w:rPr>
              <w:t xml:space="preserve">BillPay</w:t>
            </w:r>
          </w:p>
        </w:tc>
        <w:tc>
          <w:tcPr>
            <w:tcW w:w="3120" w:type="dxa"/>
          </w:tcPr>
          <w:p>
            <w:pPr>
              <w:spacing w:before="40" w:after="40"/>
            </w:pPr>
            <w:r>
              <w:rPr>
                <w:sz w:val="20"/>
              </w:rPr>
              <w:t xml:space="preserve">1647602068707</w:t>
            </w:r>
          </w:p>
        </w:tc>
      </w:tr>
    </w:tbl>
    <w:p>
      <w:pPr>
        <w:spacing w:after="120"/>
      </w:pPr>
    </w:p>
    <w:p>
      <w:pPr>
        <w:spacing w:before="0" w:after="120"/>
        <w:rPr>
          <w:sz w:val="22"/>
        </w:rPr>
      </w:pPr>
      <w:r>
        <w:rPr>
          <w:sz w:val="22"/>
        </w:rPr>
        <w:t xml:space="preserve">On 24 September two different requests in a </w:t>
      </w:r>
      <w:r>
        <w:rPr>
          <w:sz w:val="22"/>
          <w:b/>
        </w:rPr>
        <w:t xml:space="preserve">single session</w:t>
      </w:r>
      <w:r>
        <w:rPr>
          <w:sz w:val="22"/>
        </w:rPr>
        <w:t xml:space="preserve"> — one for a 30-day range and one for a 90-day range — both carried </w:t>
      </w:r>
      <w:r>
        <w:rPr>
          <w:sz w:val="22"/>
          <w:rFonts w:ascii="Consolas" w:hAnsi="Consolas"/>
          <w:sz w:val="20"/>
        </w:rPr>
        <w:t xml:space="preserve">1647602068707</w:t>
      </w:r>
      <w:r>
        <w:rPr>
          <w:sz w:val="22"/>
        </w:rPr>
        <w:t xml:space="preserve">. Everything else about those two requests differed. The identifier did not.</w:t>
      </w:r>
    </w:p>
    <w:p>
      <w:pPr>
        <w:spacing w:before="280" w:after="120"/>
        <w:rPr>
          <w:sz w:val="28"/>
          <w:b/>
        </w:rPr>
      </w:pPr>
      <w:r>
        <w:rPr>
          <w:sz w:val="28"/>
          <w:b/>
        </w:rPr>
        <w:t xml:space="preserve">Where it comes from</w:t>
      </w:r>
    </w:p>
    <w:p>
      <w:pPr>
        <w:spacing w:before="0" w:after="120"/>
        <w:rPr>
          <w:sz w:val="22"/>
        </w:rPr>
      </w:pPr>
      <w:r>
        <w:rPr>
          <w:sz w:val="22"/>
          <w:rFonts w:ascii="Consolas" w:hAnsi="Consolas"/>
          <w:sz w:val="20"/>
        </w:rPr>
        <w:t xml:space="preserve">apis/payment.js:101</w:t>
      </w:r>
      <w:r>
        <w:rPr>
          <w:sz w:val="22"/>
        </w:rPr>
        <w:t xml:space="preserve"> sets it as a literal rather than generating one per call.</w:t>
      </w:r>
    </w:p>
    <w:p>
      <w:pPr>
        <w:spacing w:before="0" w:after="120"/>
        <w:rPr>
          <w:sz w:val="22"/>
        </w:rPr>
      </w:pPr>
      <w:r>
        <w:rPr>
          <w:sz w:val="22"/>
        </w:rPr>
        <w:t xml:space="preserve">The value itself is the clue to what happened. </w:t>
      </w:r>
      <w:r>
        <w:rPr>
          <w:sz w:val="22"/>
          <w:rFonts w:ascii="Consolas" w:hAnsi="Consolas"/>
          <w:sz w:val="20"/>
        </w:rPr>
        <w:t xml:space="preserve">1647602068707</w:t>
      </w:r>
      <w:r>
        <w:rPr>
          <w:sz w:val="22"/>
        </w:rPr>
        <w:t xml:space="preserve"> read as a millisecond timestamp is </w:t>
      </w:r>
      <w:r>
        <w:rPr>
          <w:sz w:val="22"/>
          <w:b/>
        </w:rPr>
        <w:t xml:space="preserve">18 March 2022, 11:14:28 UTC</w:t>
      </w:r>
      <w:r>
        <w:rPr>
          <w:sz w:val="22"/>
        </w:rPr>
        <w:t xml:space="preserve"> — a </w:t>
      </w:r>
      <w:r>
        <w:rPr>
          <w:sz w:val="22"/>
          <w:rFonts w:ascii="Consolas" w:hAnsi="Consolas"/>
          <w:sz w:val="20"/>
        </w:rPr>
        <w:t xml:space="preserve">Date.now()</w:t>
      </w:r>
      <w:r>
        <w:rPr>
          <w:sz w:val="22"/>
        </w:rPr>
        <w:t xml:space="preserve"> result from one afternoon during development, which was pasted in as a constant instead of being left as a call.</w:t>
      </w:r>
    </w:p>
    <w:p>
      <w:pPr>
        <w:spacing w:before="0" w:after="120"/>
        <w:rPr>
          <w:sz w:val="22"/>
        </w:rPr>
      </w:pPr>
      <w:r>
        <w:rPr>
          <w:sz w:val="22"/>
        </w:rPr>
        <w:t xml:space="preserve">So the intent was right. A fresh timestamp per request is exactly what was wanted. Only the call was replaced by its result.</w:t>
      </w:r>
    </w:p>
    <w:p>
      <w:pPr>
        <w:spacing w:before="280" w:after="120"/>
        <w:rPr>
          <w:sz w:val="28"/>
          <w:b/>
        </w:rPr>
      </w:pPr>
      <w:r>
        <w:rPr>
          <w:sz w:val="28"/>
          <w:b/>
        </w:rPr>
        <w:t xml:space="preserve">Expected result</w:t>
      </w:r>
    </w:p>
    <w:p>
      <w:pPr>
        <w:spacing w:before="0" w:after="120"/>
        <w:rPr>
          <w:sz w:val="22"/>
        </w:rPr>
      </w:pPr>
      <w:r>
        <w:rPr>
          <w:sz w:val="22"/>
        </w:rPr>
        <w:t xml:space="preserve">Each request carries its own identifier, so any one call can be picked out and followed.</w:t>
      </w:r>
    </w:p>
    <w:p>
      <w:pPr>
        <w:spacing w:before="280" w:after="120"/>
        <w:rPr>
          <w:sz w:val="28"/>
          <w:b/>
        </w:rPr>
      </w:pPr>
      <w:r>
        <w:rPr>
          <w:sz w:val="28"/>
          <w:b/>
        </w:rPr>
        <w:t xml:space="preserve">Actual result</w:t>
      </w:r>
    </w:p>
    <w:p>
      <w:pPr>
        <w:spacing w:before="0" w:after="120"/>
        <w:rPr>
          <w:sz w:val="22"/>
        </w:rPr>
      </w:pPr>
      <w:r>
        <w:rPr>
          <w:sz w:val="22"/>
        </w:rPr>
        <w:t xml:space="preserve">Every request carries </w:t>
      </w:r>
      <w:r>
        <w:rPr>
          <w:sz w:val="22"/>
          <w:rFonts w:ascii="Consolas" w:hAnsi="Consolas"/>
          <w:sz w:val="20"/>
        </w:rPr>
        <w:t xml:space="preserve">1647602068707</w:t>
      </w:r>
      <w:r>
        <w:rPr>
          <w:sz w:val="22"/>
        </w:rPr>
        <w:t xml:space="preserve">.</w:t>
      </w:r>
    </w:p>
    <w:p>
      <w:pPr>
        <w:spacing w:before="280" w:after="120"/>
        <w:rPr>
          <w:sz w:val="28"/>
          <w:b/>
        </w:rPr>
      </w:pPr>
      <w:r>
        <w:rPr>
          <w:sz w:val="28"/>
          <w:b/>
        </w:rPr>
        <w:t xml:space="preserve">Impact</w:t>
      </w:r>
    </w:p>
    <w:p>
      <w:pPr>
        <w:spacing w:before="0" w:after="120"/>
        <w:rPr>
          <w:sz w:val="22"/>
        </w:rPr>
      </w:pPr>
      <w:r>
        <w:rPr>
          <w:sz w:val="22"/>
        </w:rPr>
        <w:t xml:space="preserve">Nothing a merchant can see, and nothing measured is wrong. The figures are correct and the page behaves normally. This is a diagnostics problem, and it is felt when something else goes wrong.</w:t>
      </w:r>
    </w:p>
    <w:p>
      <w:pPr>
        <w:spacing w:before="0" w:after="120"/>
        <w:rPr>
          <w:sz w:val="22"/>
        </w:rPr>
      </w:pPr>
      <w:r>
        <w:rPr>
          <w:sz w:val="22"/>
        </w:rPr>
        <w:t xml:space="preserve">When a merchant reports that Payment Stats gave them the wrong numbers at a particular moment, the usual route is to find that one request in the logs and follow it. Here every request looks identical, so there is nothing to search on. A support case that should take minutes becomes guesswork.</w:t>
      </w:r>
    </w:p>
    <w:p>
      <w:pPr>
        <w:spacing w:before="0" w:after="120"/>
        <w:rPr>
          <w:sz w:val="22"/>
        </w:rPr>
      </w:pPr>
      <w:r>
        <w:rPr>
          <w:sz w:val="22"/>
        </w:rPr>
        <w:t xml:space="preserve">It also quietly weakens every other defect in this document. PS-NEG-02 and PS-NEG-12 both depend on knowing which call did what, and this makes that harder than it needs to be.</w:t>
      </w:r>
    </w:p>
    <w:p>
      <w:pPr>
        <w:spacing w:before="0" w:after="120"/>
        <w:rPr>
          <w:sz w:val="22"/>
        </w:rPr>
      </w:pPr>
      <w:r>
        <w:rPr>
          <w:sz w:val="22"/>
          <w:b/>
        </w:rPr>
        <w:t xml:space="preserve">Workaround:</w:t>
      </w:r>
      <w:r>
        <w:rPr>
          <w:sz w:val="22"/>
        </w:rPr>
        <w:t xml:space="preserve"> none. Nothing the merchant or the tester does changes it.</w:t>
      </w:r>
    </w:p>
    <w:p>
      <w:pPr>
        <w:spacing w:before="280" w:after="120"/>
        <w:rPr>
          <w:sz w:val="28"/>
          <w:b/>
        </w:rPr>
      </w:pPr>
      <w:r>
        <w:rPr>
          <w:sz w:val="28"/>
          <w:b/>
        </w:rPr>
        <w:t xml:space="preserve">Notes for the developer</w:t>
      </w:r>
    </w:p>
    <w:p>
      <w:pPr>
        <w:spacing w:before="0" w:after="80"/>
        <w:ind w:left="360"/>
        <w:rPr>
          <w:sz w:val="22"/>
        </w:rPr>
      </w:pPr>
      <w:r>
        <w:rPr>
          <w:sz w:val="22"/>
        </w:rPr>
        <w:t xml:space="preserve">• Restore the generated value at </w:t>
      </w:r>
      <w:r>
        <w:rPr>
          <w:sz w:val="22"/>
          <w:rFonts w:ascii="Consolas" w:hAnsi="Consolas"/>
          <w:sz w:val="20"/>
        </w:rPr>
        <w:t xml:space="preserve">apis/payment.js:101</w:t>
      </w:r>
      <w:r>
        <w:rPr>
          <w:sz w:val="22"/>
        </w:rPr>
        <w:t xml:space="preserve">. The surrounding code already expects an identifier of this shape.</w:t>
      </w:r>
    </w:p>
    <w:p>
      <w:pPr>
        <w:spacing w:before="0" w:after="80"/>
        <w:ind w:left="360"/>
        <w:rPr>
          <w:sz w:val="22"/>
        </w:rPr>
      </w:pPr>
      <w:r>
        <w:rPr>
          <w:sz w:val="22"/>
        </w:rPr>
        <w:t xml:space="preserve">• Check whether the same literal was pasted anywhere else at the same time. A constant that came from one development session is rarely used in only one place.</w:t>
      </w:r>
    </w:p>
    <w:p>
      <w:pPr>
        <w:spacing w:before="0" w:after="80"/>
        <w:ind w:left="360"/>
        <w:rPr>
          <w:sz w:val="22"/>
        </w:rPr>
      </w:pPr>
      <w:r>
        <w:rPr>
          <w:sz w:val="22"/>
        </w:rPr>
        <w:t xml:space="preserve">• Worth confirming nothing downstream has come to rely on the value being fixed. It has been constant since March 2022, which is long enough for something to have quietly depended on it.</w:t>
      </w:r>
    </w:p>
    <w:p>
      <w:pPr>
        <w:spacing w:before="280" w:after="120"/>
        <w:rPr>
          <w:sz w:val="28"/>
          <w:b/>
        </w:rPr>
      </w:pPr>
      <w:r>
        <w:rPr>
          <w:sz w:val="28"/>
          <w:b/>
        </w:rPr>
        <w:t xml:space="preserve">How to tell it is fixed</w:t>
      </w:r>
    </w:p>
    <w:p>
      <w:pPr>
        <w:spacing w:before="0" w:after="120"/>
        <w:rPr>
          <w:sz w:val="22"/>
        </w:rPr>
      </w:pPr>
      <w:r>
        <w:rPr>
          <w:sz w:val="22"/>
        </w:rPr>
        <w:t xml:space="preserve">1. Open Payment Stats with the browser's network view recording. 2. Change the date range and submit again, so at least two requests are made. 3. Compare the identifier on the two requests. They must differ. 4. Reload and repeat. The values must differ again, and must not repeat from the earlier run.</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 Id="rId114" Type="http://schemas.openxmlformats.org/officeDocument/2006/relationships/image" Target="media/query-setup.png"/><Relationship Id="rId115" Type="http://schemas.openxmlformats.org/officeDocument/2006/relationships/image" Target="media/grouped-totals-vs-graph.png"/><Relationship Id="rId116" Type="http://schemas.openxmlformats.org/officeDocument/2006/relationships/image" Target="media/detail-applesale-row.png"/><Relationship Id="rId117" Type="http://schemas.openxmlformats.org/officeDocument/2006/relationships/image" Target="media/detail-pulse-row.png"/><Relationship Id="rId118" Type="http://schemas.openxmlformats.org/officeDocument/2006/relationships/image" Target="media/before-september-real-figures.png"/><Relationship Id="rId119" Type="http://schemas.openxmlformats.org/officeDocument/2006/relationships/image" Target="media/after-november-all-zeros.png"/><Relationship Id="rId120" Type="http://schemas.openxmlformats.org/officeDocument/2006/relationships/image" Target="media/1-normal-both-dates-filled.png"/><Relationship Id="rId121" Type="http://schemas.openxmlformats.org/officeDocument/2006/relationships/image" Target="media/2-from-date-cleared-submit-still-enabled.png"/><Relationship Id="rId122" Type="http://schemas.openxmlformats.org/officeDocument/2006/relationships/image" Target="media/3-after-clicking-submit.png"/></Relationships>
</file>