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D3DF" w14:textId="2183B533" w:rsidR="00BD1FBD" w:rsidRDefault="00BD1FBD" w:rsidP="0042520F">
      <w:pPr>
        <w:rPr>
          <w:rFonts w:ascii="AbrilFatface-Regular" w:hAnsi="AbrilFatface-Regular"/>
          <w:b/>
          <w:bCs/>
          <w:sz w:val="34"/>
          <w:szCs w:val="32"/>
        </w:rPr>
      </w:pPr>
      <w:r w:rsidRPr="00BD1FBD">
        <w:rPr>
          <w:rFonts w:ascii="AbrilFatface-Regular" w:hAnsi="AbrilFatface-Regular"/>
          <w:b/>
          <w:bCs/>
          <w:sz w:val="34"/>
          <w:szCs w:val="32"/>
        </w:rPr>
        <w:drawing>
          <wp:anchor distT="0" distB="0" distL="114300" distR="114300" simplePos="0" relativeHeight="251661312" behindDoc="0" locked="0" layoutInCell="1" allowOverlap="1" wp14:anchorId="54CB1E06" wp14:editId="72E5D5F6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4772025" cy="838200"/>
            <wp:effectExtent l="0" t="0" r="9525" b="0"/>
            <wp:wrapNone/>
            <wp:docPr id="110265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86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7EC6B" w14:textId="77777777" w:rsidR="00BD1FBD" w:rsidRDefault="00BD1FBD" w:rsidP="0042520F">
      <w:pPr>
        <w:rPr>
          <w:rFonts w:ascii="AbrilFatface-Regular" w:hAnsi="AbrilFatface-Regular"/>
          <w:b/>
          <w:bCs/>
          <w:sz w:val="34"/>
          <w:szCs w:val="32"/>
        </w:rPr>
      </w:pPr>
    </w:p>
    <w:p w14:paraId="50C6459B" w14:textId="77777777" w:rsidR="00BD1FBD" w:rsidRPr="0042520F" w:rsidRDefault="00BD1FBD" w:rsidP="00BD1FBD">
      <w:pPr>
        <w:rPr>
          <w:rFonts w:ascii="Palatino Linotype" w:hAnsi="Palatino Linotype" w:cs="Abhaya Libre"/>
          <w:i/>
          <w:iCs/>
          <w:sz w:val="16"/>
          <w:szCs w:val="16"/>
        </w:rPr>
      </w:pPr>
      <w:r w:rsidRPr="00783F03">
        <w:rPr>
          <w:rFonts w:ascii="Palatino Linotype" w:hAnsi="Palatino Linotype" w:cs="Abhaya Libre"/>
          <w:i/>
          <w:iCs/>
          <w:sz w:val="16"/>
          <w:szCs w:val="16"/>
        </w:rPr>
        <w:t>By Jonathan Mitchell, Science Correspondent</w:t>
      </w:r>
    </w:p>
    <w:p w14:paraId="1855E4E7" w14:textId="77777777" w:rsidR="00BD1FBD" w:rsidRDefault="00BD1FBD" w:rsidP="0042520F">
      <w:pPr>
        <w:rPr>
          <w:rFonts w:ascii="AbrilFatface-Regular" w:hAnsi="AbrilFatface-Regular"/>
          <w:b/>
          <w:bCs/>
          <w:sz w:val="34"/>
          <w:szCs w:val="32"/>
        </w:rPr>
      </w:pPr>
    </w:p>
    <w:p w14:paraId="290E3065" w14:textId="61691BA1" w:rsidR="00783F03" w:rsidRPr="00783F03" w:rsidRDefault="00783F03" w:rsidP="0042520F">
      <w:pPr>
        <w:rPr>
          <w:rFonts w:ascii="AbrilFatface-Regular" w:hAnsi="AbrilFatface-Regular"/>
          <w:b/>
          <w:bCs/>
          <w:sz w:val="36"/>
          <w:szCs w:val="36"/>
        </w:rPr>
      </w:pPr>
      <w:r w:rsidRPr="00783F03">
        <w:rPr>
          <w:sz w:val="20"/>
          <w:szCs w:val="20"/>
        </w:rPr>
        <w:t>In a groundbreaking development that could revolutionize the renewable energy sector, scientists at the Global Energy Research Institute have unveiled a new battery technology that promises to solve one of the most persistent challenges in sustainable power generation: efficient energy storage.</w:t>
      </w:r>
    </w:p>
    <w:p w14:paraId="20636A96" w14:textId="77777777" w:rsidR="00783F03" w:rsidRPr="00783F03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The innovative system, developed over five years of intensive research, utilizes a novel combination of readily available materials to create a storage solution that is not only more efficient than current technologies but also significantly more cost-effective and environmentally friendly.</w:t>
      </w:r>
    </w:p>
    <w:p w14:paraId="4C265C99" w14:textId="788E6C10" w:rsidR="00090EEC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 xml:space="preserve">"This breakthrough represents a quantum leap in our ability to store and utilize renewable energy," explained </w:t>
      </w:r>
      <w:proofErr w:type="spellStart"/>
      <w:r w:rsidRPr="00783F03">
        <w:rPr>
          <w:sz w:val="20"/>
          <w:szCs w:val="20"/>
        </w:rPr>
        <w:t>Dr.</w:t>
      </w:r>
      <w:proofErr w:type="spellEnd"/>
      <w:r w:rsidRPr="00783F03">
        <w:rPr>
          <w:sz w:val="20"/>
          <w:szCs w:val="20"/>
        </w:rPr>
        <w:t xml:space="preserve"> Sarah Chen, lead researcher on the project. "Our new battery technology can store up</w:t>
      </w:r>
      <w:r w:rsidR="0042520F">
        <w:rPr>
          <w:sz w:val="20"/>
          <w:szCs w:val="20"/>
        </w:rPr>
        <w:t xml:space="preserve"> </w:t>
      </w:r>
      <w:r w:rsidR="0042520F" w:rsidRPr="00783F03">
        <w:rPr>
          <w:sz w:val="20"/>
          <w:szCs w:val="20"/>
        </w:rPr>
        <w:t>to five times more</w:t>
      </w:r>
    </w:p>
    <w:p w14:paraId="05BF12C6" w14:textId="0376A7C1" w:rsidR="00090EEC" w:rsidRDefault="00090EEC" w:rsidP="00090EEC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F1811" wp14:editId="0ED5111D">
                <wp:simplePos x="0" y="0"/>
                <wp:positionH relativeFrom="column">
                  <wp:posOffset>2870200</wp:posOffset>
                </wp:positionH>
                <wp:positionV relativeFrom="paragraph">
                  <wp:posOffset>5080</wp:posOffset>
                </wp:positionV>
                <wp:extent cx="0" cy="4732020"/>
                <wp:effectExtent l="0" t="0" r="38100" b="30480"/>
                <wp:wrapNone/>
                <wp:docPr id="1777183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20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C6D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.4pt" to="226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" strokecolor="#cfcdcd [2894]">
                <v:stroke joinstyle="miter"/>
              </v:line>
            </w:pict>
          </mc:Fallback>
        </mc:AlternateContent>
      </w:r>
    </w:p>
    <w:p w14:paraId="45010B6B" w14:textId="1752773B" w:rsidR="00090EEC" w:rsidRDefault="00090EEC" w:rsidP="00090EEC">
      <w:pPr>
        <w:jc w:val="both"/>
        <w:rPr>
          <w:sz w:val="20"/>
          <w:szCs w:val="20"/>
        </w:rPr>
      </w:pPr>
    </w:p>
    <w:p w14:paraId="66E08C40" w14:textId="0E78CEC5" w:rsidR="00090EEC" w:rsidRDefault="00090EEC" w:rsidP="00090EEC">
      <w:pPr>
        <w:jc w:val="both"/>
        <w:rPr>
          <w:sz w:val="20"/>
          <w:szCs w:val="20"/>
        </w:rPr>
      </w:pPr>
    </w:p>
    <w:p w14:paraId="4DD18189" w14:textId="74792CFC" w:rsidR="00090EEC" w:rsidRDefault="00090EEC" w:rsidP="00090EEC">
      <w:pPr>
        <w:jc w:val="both"/>
        <w:rPr>
          <w:sz w:val="20"/>
          <w:szCs w:val="20"/>
        </w:rPr>
      </w:pPr>
    </w:p>
    <w:p w14:paraId="5DF6BBF6" w14:textId="6FC3DDF1" w:rsidR="00090EEC" w:rsidRDefault="00090EEC" w:rsidP="00090EEC">
      <w:pPr>
        <w:jc w:val="both"/>
        <w:rPr>
          <w:sz w:val="20"/>
          <w:szCs w:val="20"/>
        </w:rPr>
      </w:pPr>
    </w:p>
    <w:p w14:paraId="20FCB271" w14:textId="6BBF22B6" w:rsidR="00783F03" w:rsidRPr="00783F03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energy than traditional lithium-ion batteries while reducing production costs by approximately 60 percent."</w:t>
      </w:r>
    </w:p>
    <w:p w14:paraId="19566A80" w14:textId="77777777" w:rsidR="00783F03" w:rsidRPr="00783F03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The implications of this development are far-reaching. Energy experts suggest that this innovation could finally make renewable energy sources like solar and wind power competitive with fossil fuels on a global scale. The new storage system addresses the intermittent nature of renewable energy sources, ensuring a steady power supply even when the sun isn't shining or the wind isn't blowing.</w:t>
      </w:r>
    </w:p>
    <w:p w14:paraId="5822E45D" w14:textId="77777777" w:rsidR="0042520F" w:rsidRPr="00783F03" w:rsidRDefault="00783F03" w:rsidP="0042520F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Industry analysts predict that this technology could accelerate the global transition to renewable energy sources by at least a decade. Major energy companies have already expressed interest in</w:t>
      </w:r>
      <w:r w:rsidR="0042520F">
        <w:rPr>
          <w:sz w:val="20"/>
          <w:szCs w:val="20"/>
        </w:rPr>
        <w:t xml:space="preserve"> </w:t>
      </w:r>
      <w:r w:rsidR="0042520F" w:rsidRPr="00783F03">
        <w:rPr>
          <w:sz w:val="20"/>
          <w:szCs w:val="20"/>
        </w:rPr>
        <w:t>implementing the new storage system, with several pilot projects planned for the coming year.</w:t>
      </w:r>
    </w:p>
    <w:p w14:paraId="170B0535" w14:textId="4D9F98AE" w:rsidR="00090EEC" w:rsidRDefault="00090EEC" w:rsidP="00090EEC">
      <w:pPr>
        <w:jc w:val="both"/>
        <w:rPr>
          <w:sz w:val="20"/>
          <w:szCs w:val="20"/>
        </w:rPr>
      </w:pPr>
    </w:p>
    <w:p w14:paraId="7949A23B" w14:textId="66C673E0" w:rsidR="00090EEC" w:rsidRDefault="0042520F" w:rsidP="00090EEC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D365FC" wp14:editId="6D135B8B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2658110" cy="1381125"/>
            <wp:effectExtent l="0" t="0" r="8890" b="9525"/>
            <wp:wrapNone/>
            <wp:docPr id="2025851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64" cy="138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BD37C" w14:textId="1F6AFF07" w:rsidR="00090EEC" w:rsidRDefault="00090EEC" w:rsidP="00090EEC">
      <w:pPr>
        <w:jc w:val="both"/>
        <w:rPr>
          <w:sz w:val="20"/>
          <w:szCs w:val="20"/>
        </w:rPr>
      </w:pPr>
    </w:p>
    <w:p w14:paraId="215751B9" w14:textId="61378BAB" w:rsidR="00090EEC" w:rsidRDefault="00090EEC" w:rsidP="00090EEC">
      <w:pPr>
        <w:jc w:val="both"/>
        <w:rPr>
          <w:sz w:val="20"/>
          <w:szCs w:val="20"/>
        </w:rPr>
      </w:pPr>
    </w:p>
    <w:p w14:paraId="0FF7152F" w14:textId="019481E2" w:rsidR="00090EEC" w:rsidRDefault="00090EEC" w:rsidP="00090EEC">
      <w:pPr>
        <w:jc w:val="both"/>
        <w:rPr>
          <w:sz w:val="20"/>
          <w:szCs w:val="20"/>
        </w:rPr>
      </w:pPr>
    </w:p>
    <w:p w14:paraId="7F418789" w14:textId="7858548A" w:rsidR="00090EEC" w:rsidRDefault="00090EEC" w:rsidP="00090EEC">
      <w:pPr>
        <w:jc w:val="both"/>
        <w:rPr>
          <w:sz w:val="20"/>
          <w:szCs w:val="20"/>
        </w:rPr>
      </w:pPr>
    </w:p>
    <w:p w14:paraId="7B300593" w14:textId="77777777" w:rsidR="0042520F" w:rsidRDefault="0042520F" w:rsidP="00783F03">
      <w:pPr>
        <w:rPr>
          <w:sz w:val="20"/>
          <w:szCs w:val="20"/>
        </w:rPr>
      </w:pPr>
    </w:p>
    <w:p w14:paraId="4F288358" w14:textId="435DA92D" w:rsidR="00783F03" w:rsidRPr="00783F03" w:rsidRDefault="00783F03" w:rsidP="00783F03">
      <w:pPr>
        <w:rPr>
          <w:b/>
          <w:bCs/>
          <w:sz w:val="28"/>
          <w:szCs w:val="28"/>
        </w:rPr>
      </w:pPr>
      <w:r w:rsidRPr="00783F03">
        <w:rPr>
          <w:b/>
          <w:bCs/>
          <w:sz w:val="28"/>
          <w:szCs w:val="28"/>
        </w:rPr>
        <w:t>Market Impact</w:t>
      </w:r>
    </w:p>
    <w:p w14:paraId="60439D82" w14:textId="77777777" w:rsidR="00783F03" w:rsidRPr="00783F03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Following the announcement, renewable energy stocks surged, with several key players in the sector seeing double-digit percentage gains. Investment in renewable energy infrastructure is expected to increase significantly in the coming months as companies race to implement the new technology.</w:t>
      </w:r>
    </w:p>
    <w:p w14:paraId="1CFE7C90" w14:textId="77777777" w:rsidR="00783F03" w:rsidRPr="00783F03" w:rsidRDefault="00783F03" w:rsidP="00090EEC">
      <w:pPr>
        <w:jc w:val="both"/>
        <w:rPr>
          <w:sz w:val="20"/>
          <w:szCs w:val="20"/>
        </w:rPr>
      </w:pPr>
      <w:r w:rsidRPr="00783F03">
        <w:rPr>
          <w:sz w:val="20"/>
          <w:szCs w:val="20"/>
        </w:rPr>
        <w:t>Environmental groups have welcomed the development, noting that it could play a crucial role in meeting global climate targets. The technology is expected to be commercially available within the next 18 months, pending final regulatory approvals.</w:t>
      </w:r>
    </w:p>
    <w:sectPr w:rsidR="00783F03" w:rsidRPr="00783F03" w:rsidSect="00090EEC">
      <w:headerReference w:type="default" r:id="rId8"/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970D4" w14:textId="77777777" w:rsidR="00F82025" w:rsidRDefault="00F82025" w:rsidP="00783F03">
      <w:pPr>
        <w:spacing w:after="0" w:line="240" w:lineRule="auto"/>
      </w:pPr>
      <w:r>
        <w:separator/>
      </w:r>
    </w:p>
  </w:endnote>
  <w:endnote w:type="continuationSeparator" w:id="0">
    <w:p w14:paraId="5AF940BB" w14:textId="77777777" w:rsidR="00F82025" w:rsidRDefault="00F82025" w:rsidP="0078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Fatface-Regular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bhaya Libre">
    <w:charset w:val="00"/>
    <w:family w:val="auto"/>
    <w:pitch w:val="variable"/>
    <w:sig w:usb0="800000AF" w:usb1="5000204A" w:usb2="00000200" w:usb3="00000000" w:csb0="00000093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B4BF4" w14:textId="77777777" w:rsidR="00F82025" w:rsidRDefault="00F82025" w:rsidP="00783F03">
      <w:pPr>
        <w:spacing w:after="0" w:line="240" w:lineRule="auto"/>
      </w:pPr>
      <w:r>
        <w:separator/>
      </w:r>
    </w:p>
  </w:footnote>
  <w:footnote w:type="continuationSeparator" w:id="0">
    <w:p w14:paraId="29554821" w14:textId="77777777" w:rsidR="00F82025" w:rsidRDefault="00F82025" w:rsidP="0078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BBAC" w14:textId="77777777" w:rsidR="00783F03" w:rsidRPr="00783F03" w:rsidRDefault="00783F03" w:rsidP="00783F03">
    <w:pPr>
      <w:jc w:val="center"/>
      <w:rPr>
        <w:rFonts w:ascii="Old English Text MT" w:hAnsi="Old English Text MT"/>
        <w:b/>
        <w:bCs/>
        <w:sz w:val="96"/>
        <w:szCs w:val="96"/>
      </w:rPr>
    </w:pPr>
    <w:r w:rsidRPr="00783F03">
      <w:rPr>
        <w:rFonts w:ascii="Old English Text MT" w:hAnsi="Old English Text MT"/>
        <w:b/>
        <w:bCs/>
        <w:sz w:val="96"/>
        <w:szCs w:val="96"/>
      </w:rPr>
      <w:t>The Daily Chronicle</w:t>
    </w:r>
  </w:p>
  <w:p w14:paraId="3EEEBAD3" w14:textId="4192327A" w:rsidR="00783F03" w:rsidRPr="00783F03" w:rsidRDefault="00783F03" w:rsidP="00783F03">
    <w:pPr>
      <w:pBdr>
        <w:bottom w:val="single" w:sz="18" w:space="1" w:color="auto"/>
      </w:pBdr>
      <w:jc w:val="center"/>
      <w:rPr>
        <w:rFonts w:ascii="Palatino Linotype" w:hAnsi="Palatino Linotype" w:cs="Abhaya Libre"/>
        <w:i/>
        <w:iCs/>
        <w:sz w:val="16"/>
        <w:szCs w:val="16"/>
      </w:rPr>
    </w:pPr>
    <w:r w:rsidRPr="00783F03">
      <w:rPr>
        <w:rFonts w:ascii="Palatino Linotype" w:hAnsi="Palatino Linotype" w:cs="Abhaya Libre"/>
        <w:i/>
        <w:iCs/>
        <w:sz w:val="16"/>
        <w:szCs w:val="16"/>
      </w:rPr>
      <w:t>Friday, January 3, 2025</w:t>
    </w:r>
  </w:p>
  <w:p w14:paraId="682D9D73" w14:textId="77777777" w:rsidR="00783F03" w:rsidRDefault="00783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3"/>
    <w:rsid w:val="00090EEC"/>
    <w:rsid w:val="00263968"/>
    <w:rsid w:val="0042520F"/>
    <w:rsid w:val="00783F03"/>
    <w:rsid w:val="00917B59"/>
    <w:rsid w:val="00AA171E"/>
    <w:rsid w:val="00BD1FBD"/>
    <w:rsid w:val="00E0744F"/>
    <w:rsid w:val="00F8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2"/>
    </o:shapelayout>
  </w:shapeDefaults>
  <w:decimalSymbol w:val="."/>
  <w:listSeparator w:val=","/>
  <w14:docId w14:val="37BFA8F5"/>
  <w15:chartTrackingRefBased/>
  <w15:docId w15:val="{DDF0183C-A8AB-45D5-A82F-2457E92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03"/>
  </w:style>
  <w:style w:type="paragraph" w:styleId="Footer">
    <w:name w:val="footer"/>
    <w:basedOn w:val="Normal"/>
    <w:link w:val="FooterChar"/>
    <w:uiPriority w:val="99"/>
    <w:unhideWhenUsed/>
    <w:rsid w:val="00783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1</cp:revision>
  <dcterms:created xsi:type="dcterms:W3CDTF">2025-01-03T16:10:00Z</dcterms:created>
  <dcterms:modified xsi:type="dcterms:W3CDTF">2025-01-03T16:58:00Z</dcterms:modified>
</cp:coreProperties>
</file>