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6"/>
          <w:szCs w:val="26"/>
        </w:rPr>
        <w:t xml:space="preserve">Ideation Phase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Empathize &amp; Discover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29 September 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Team ID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SWTID-2026-1012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Project Name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Implement Client Script &amp; UI Policy (Incident)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Maximum Marks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4 Marks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b/>
          <w:bCs/>
        </w:rPr>
        <w:t xml:space="preserve">Persona: ServiceNow Incident Management User (Support Agent handling High Impact Incidents)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D9E2F3" w:val="clear"/>
          </w:tcPr>
          <w:p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dxa" w:w="6200"/>
            <w:shd w:fill="D9E2F3" w:val="clear"/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What does he THINK AND FEEL?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Worried about missing the Assigned To field on High Impact incidents; frustrated when incidents get escalated without an owner; wants a reliable way to enforce ownership on critical tickets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What does he SEE?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Incidents with Impact = High sitting unassigned; Urgency values inconsistently set on high-impact tickets; State field getting changed carelessly from the list view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What does he HEAR?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Manager insists High Impact incidents must always have an owner and correct Urgency; team lead complains about State being changed without opening the record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What does he SAY AND DO?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Sets Impact quickly without always assigning an owner; sometimes edits State directly from the list view for speed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Pain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High Impact incidents get saved without an assignee; Urgency not automatically aligned with Impact; State changed accidentally from list view without proper review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Gain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Wants Assigned To to be enforced only when Impact is High; wants Urgency to auto-update for High Impact; wants State changes only allowed via the form, not the list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2026-09-29T05:40:44.176Z</dcterms:created>
  <dcterms:modified xsi:type="dcterms:W3CDTF">2026-09-29T05:40:44.180Z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