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Functional Requirements: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00"/>
      </w:tblGrid>
      <w:tr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FR No.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dxa" w:w="4600"/>
            <w:shd w:fill="D9E2F3" w:val="clear"/>
          </w:tcPr>
          <w:p>
            <w:r>
              <w:rPr>
                <w:b/>
                <w:bCs/>
              </w:rPr>
              <w:t xml:space="preserve">Sub Requirement (Story / Sub-Task)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UI Policy Configuration (High Impact Control)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Create UI Policy on Incident table / Condition: Impact = 1-High / Active = true / Reverse if false = true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UI Policy Actions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Assignment group Mandatory and Urgency Read-only when Impact = High (Visible left unchanged)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Client Script - onChange (Auto set urgency for high impact)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Auto-set Urgency to High when Impact field changes to 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Client Script - onSubmit (Prevent save if Assigned To missing)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Block save and show error if Assigned To is empty when Impact = 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FR-5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Client Script - onCellEdit (Prevent state change via list edit)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Block any direct State field edit from the Incident list view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Non-functional Requirements: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00"/>
      </w:tblGrid>
      <w:tr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FR No.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Non-Functional Requirement</w:t>
            </w:r>
          </w:p>
        </w:tc>
        <w:tc>
          <w:tcPr>
            <w:tcW w:type="dxa" w:w="530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Usability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Error messages (e.g., Assigned To missing) and alerts (State list edit block) must be clear and actionable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Only users with ITIL/incident_manager role can modify the UI Policy and Client Script configuration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Reliability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Validation must trigger consistently: Urgency read-only + auto-set on Impact change, Assigned To check on submit, State block on list edit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Client Scripts must execute in real-time (&lt;1 sec) without noticeable form lag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Configuration must work across all sessions/users without requiring cache refresh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Scalability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Same UI Policy + Client Script pattern can extend to other impact levels or tables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2026-09-29T05:40:44.473Z</dcterms:created>
  <dcterms:modified xsi:type="dcterms:W3CDTF">2026-09-29T05:40:44.473Z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