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Technology Stack (Architecture &amp; Stack)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29 September 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Team 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SWTID-2026-1012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Implement Client Script &amp; UI Policy (Incident)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Maximum Marks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</w:rPr>
        <w:t xml:space="preserve">Architecture Flow:</w:t>
      </w:r>
    </w:p>
    <w:p>
      <w:pPr>
        <w:spacing w:after="150"/>
      </w:pPr>
      <w:r>
        <w:t xml:space="preserve">User (Browser) -&gt; ServiceNow UI (Incident Form/List View) -&gt; High Impact Control UI Policy Engine -&gt; Client Script Engine (GlideForm API - g_form) -&gt; ServiceNow Server -&gt; Incident Table (ServiceNow DB)</w:t>
      </w:r>
    </w:p>
    <w:p>
      <w:pPr>
        <w:spacing w:after="150"/>
      </w:pPr>
    </w:p>
    <w:p>
      <w:pPr>
        <w:spacing w:after="150"/>
      </w:pPr>
      <w:r>
        <w:rPr>
          <w:b/>
          <w:bCs/>
        </w:rPr>
        <w:t xml:space="preserve">Table-1: Components &amp; Technologies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2900"/>
      </w:tblGrid>
      <w:tr>
        <w:tc>
          <w:tcPr>
            <w:tcW w:type="dxa" w:w="700"/>
            <w:shd w:fill="D9E2F3" w:val="clear"/>
          </w:tcPr>
          <w:p>
            <w:r>
              <w:rPr>
                <w:b/>
                <w:bCs/>
              </w:rPr>
              <w:t xml:space="preserve">S.No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900"/>
            <w:shd w:fill="D9E2F3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User Interface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Incident form &amp; list view rendering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ServiceNow UI (Now Platform, UI16/UI18)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Declarative Logic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Assignment group mandatory and Urgency read-only control based on Impact condition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UI Policy (High Impact Control) + UI Policy Action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Client-side Scripting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Real-time Urgency auto-set, Assigned To validation, State edit protection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Client Scripts (onChange, onSubmit, onCellEdit) - JavaScript, GlideForm (g_form) API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Stores Incident records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ServiceNow native database (MySQL-based backend)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Platform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Hosting environment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ServiceNow Cloud (PaaS)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Access Control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Role-based configuration access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ServiceNow ACLs (Access Control Rules)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</w:rPr>
        <w:t xml:space="preserve">Table-2: Application Characteristics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2900"/>
      </w:tblGrid>
      <w:tr>
        <w:tc>
          <w:tcPr>
            <w:tcW w:type="dxa" w:w="700"/>
            <w:shd w:fill="D9E2F3" w:val="clear"/>
          </w:tcPr>
          <w:p>
            <w:r>
              <w:rPr>
                <w:b/>
                <w:bCs/>
              </w:rPr>
              <w:t xml:space="preserve">S.No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Characteristics</w:t>
            </w:r>
          </w:p>
        </w:tc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900"/>
            <w:shd w:fill="D9E2F3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Open-Source Frameworks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Not applicable - native ServiceNow platform used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ServiceNow Now Platform (proprietary)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Role-based access (ITIL/admin roles) for config changes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ServiceNow ACL, Role-Based Access Control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Scalable Architecture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Logic is modular - same pattern reusable for other conditions/fields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UI Policy + Client Script framework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Availability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Cloud-hosted ServiceNow instance, high uptime SLA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ServiceNow multi-instance cloud architecture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Client-side scripts run in browser - minimal server round-trips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GlideForm API, client-side JS execution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2026-09-29T05:40:44.535Z</dcterms:created>
  <dcterms:modified xsi:type="dcterms:W3CDTF">2026-09-29T05:40:44.535Z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