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Acceptance Testing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UAT Execution &amp; Report Submission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1. Purpose of Document</w:t>
      </w:r>
    </w:p>
    <w:p>
      <w:pPr>
        <w:spacing w:after="150"/>
      </w:pPr>
      <w:r>
        <w:t xml:space="preserve">The purpose of this document is to explain the test coverage and confirm readiness of the "Implement Client Script &amp; UI Policy (Incident)" configuration - covering the High Impact Control UI Policy and the onChange, onSubmit, and onCellEdit Client Scripts - for release to User Acceptance Testing (UAT).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2. Defect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Resolution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Severity 1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Severity 2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Severity 3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Severity 4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Subtotal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By Design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Duplicate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External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Fixed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 Reproduced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Skipped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Won't Fix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Totals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/>
          <w:iCs/>
        </w:rPr>
        <w:t xml:space="preserve">Note: 1 minor Severity-3 issue found during initial testing of the onCellEdit script (State field edge case) and fixed before final demo.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3. Test Case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4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Not Tested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Policy - High Impact Control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onChange Client Script (Urgency auto-set)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onSubmit Client Script (Assigned To mandatory)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onCellEdit Client Script (State block)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Reverse Condition / Form Update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2026-09-29T05:40:45.496Z</dcterms:created>
  <dcterms:modified xsi:type="dcterms:W3CDTF">2026-09-29T05:40:45.496Z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