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89B6" w14:textId="77777777" w:rsidR="00904925" w:rsidRPr="00904925" w:rsidRDefault="00904925" w:rsidP="0090492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p w14:paraId="5AFDE04F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Apex Precision Components (APC) must integrate </w:t>
      </w:r>
      <w:proofErr w:type="spellStart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>SmartLogistics</w:t>
      </w:r>
      <w:proofErr w:type="spellEnd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Solutions (SLS) effectively to realize the projected $8M in annual recurring revenue. However, current infrastructure constraints—including 70% storage utilization, limited rack space, and $180,000 in annual maintenance—jeopardize the July 2026 delivery deadline.</w:t>
      </w:r>
    </w:p>
    <w:p w14:paraId="589324B1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To meet contractual obligations without disrupting manufacturing, I recommend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3: Cloud Migration Strategy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. This approach resolves immediate capacity limits, aligns with SLS's cloud-native architecture, and secures critical manufacturing operations. It shifts IT resources from maintenance to strategic integration.</w:t>
      </w:r>
    </w:p>
    <w:p w14:paraId="1FF38D05" w14:textId="77777777" w:rsidR="00904925" w:rsidRPr="00904925" w:rsidRDefault="00904925" w:rsidP="0090492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Analysis: AWS Cloud Adoption Framework (CAF) Perspectives</w:t>
      </w:r>
    </w:p>
    <w:p w14:paraId="5D75AFD0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The six CAF perspectives indicate that a holistic transformation is required to bridge the gap between APC's legacy stability and SLS's innovation.</w:t>
      </w:r>
    </w:p>
    <w:p w14:paraId="06E6A4D8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Business Perspective</w:t>
      </w:r>
    </w:p>
    <w:p w14:paraId="594EA39F" w14:textId="77777777" w:rsidR="00904925" w:rsidRPr="00904925" w:rsidRDefault="00904925" w:rsidP="00904925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Management: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Our goal to predict demand patterns is blocked by infrastructure limits. Migrating non-manufacturing workloads unlocks the scalability needed to deliver the integrated supply chain analytics product on time.</w:t>
      </w:r>
    </w:p>
    <w:p w14:paraId="38E7EA99" w14:textId="77777777" w:rsidR="00904925" w:rsidRPr="00904925" w:rsidRDefault="00904925" w:rsidP="00904925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APC lacks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Management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; the team is currently consumed by low-value maintenance instead of strategic projects.</w:t>
      </w:r>
    </w:p>
    <w:p w14:paraId="341FAF46" w14:textId="77777777" w:rsidR="00904925" w:rsidRPr="00904925" w:rsidRDefault="00904925" w:rsidP="00904925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Interconnection: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Business agility relies on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scalability. Without a modern platform, the strategic intent to monetize data remains theoretical.</w:t>
      </w:r>
    </w:p>
    <w:p w14:paraId="3E93D30B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People Perspective</w:t>
      </w:r>
    </w:p>
    <w:p w14:paraId="481412D4" w14:textId="77777777" w:rsidR="00904925" w:rsidRPr="00904925" w:rsidRDefault="00904925" w:rsidP="00904925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Workforce Transformation: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We must evolve the IT team from infrastructure administrators to cloud specialists. This shift enables them to support high-value integration tasks.</w:t>
      </w:r>
    </w:p>
    <w:p w14:paraId="452333F2" w14:textId="77777777" w:rsidR="00904925" w:rsidRPr="00904925" w:rsidRDefault="00904925" w:rsidP="00904925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Fluency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is critical. Merging with SLS without a shared technical language creates operational friction. A unified strategy fosters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Evolution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, aligning both teams on a shared path.</w:t>
      </w:r>
    </w:p>
    <w:p w14:paraId="728C9816" w14:textId="77777777" w:rsidR="00904925" w:rsidRPr="00904925" w:rsidRDefault="00904925" w:rsidP="00904925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Interconnection: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Effective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Governance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policies empower the workforce (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) to experiment safely, accelerating cultural buy-in.</w:t>
      </w:r>
    </w:p>
    <w:p w14:paraId="16B387A5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Governance Perspective</w:t>
      </w:r>
    </w:p>
    <w:p w14:paraId="00677DF7" w14:textId="77777777" w:rsidR="00904925" w:rsidRPr="00904925" w:rsidRDefault="00904925" w:rsidP="0090492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Financial Management: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We must shift from a rigid $800k capital outlay to a variable </w:t>
      </w:r>
      <w:proofErr w:type="spellStart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>OpEx</w:t>
      </w:r>
      <w:proofErr w:type="spellEnd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model. This aligns costs directly with revenue growth and prevents purchasing assets that may be no longer needed.</w:t>
      </w:r>
    </w:p>
    <w:p w14:paraId="1D5828FA" w14:textId="77777777" w:rsidR="00904925" w:rsidRPr="00904925" w:rsidRDefault="00904925" w:rsidP="0090492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We lack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for cloud data sovereignty, which is critical for our automotive clients.</w:t>
      </w:r>
    </w:p>
    <w:p w14:paraId="5A28B3CB" w14:textId="77777777" w:rsidR="00904925" w:rsidRPr="00904925" w:rsidRDefault="00904925" w:rsidP="0090492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Interconnection: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Governance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dictates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choices. By defining clear guardrails (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Security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), we allow the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team to execute without compromising control.</w:t>
      </w:r>
    </w:p>
    <w:p w14:paraId="66866B14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Platform Perspective</w:t>
      </w:r>
    </w:p>
    <w:p w14:paraId="4DC6D387" w14:textId="77777777" w:rsidR="00904925" w:rsidRPr="00904925" w:rsidRDefault="00904925" w:rsidP="00904925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Architecture: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With rack space full, </w:t>
      </w:r>
      <w:proofErr w:type="gramStart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gramEnd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expansion is not scalable. Cloud migration resolves this instantly via provisioning and orchestration.</w:t>
      </w:r>
    </w:p>
    <w:p w14:paraId="5FADC625" w14:textId="77777777" w:rsidR="00904925" w:rsidRPr="00904925" w:rsidRDefault="00904925" w:rsidP="00904925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Application Development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is missing. We rely on rigid legacy apps versus SLS’s agile microservices.</w:t>
      </w:r>
    </w:p>
    <w:p w14:paraId="28976D0F" w14:textId="77777777" w:rsidR="00904925" w:rsidRPr="00904925" w:rsidRDefault="00904925" w:rsidP="00904925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Strategy: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manufacturing, we will adopt an Edge Computing model. Real-time MES/SCADA stays local for millisecond latency, while data pipes asynchronously to the cloud.</w:t>
      </w:r>
    </w:p>
    <w:p w14:paraId="543F9657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Perspective</w:t>
      </w:r>
    </w:p>
    <w:p w14:paraId="267762CC" w14:textId="77777777" w:rsidR="00904925" w:rsidRPr="00904925" w:rsidRDefault="00904925" w:rsidP="00904925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Governance: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Cloud defense in depth (VPCs, encryption) offers superior isolation for ITAR data compared to our physical perimeter, which currently hinders remote work.</w:t>
      </w:r>
    </w:p>
    <w:p w14:paraId="4D15E1C2" w14:textId="77777777" w:rsidR="00904925" w:rsidRPr="00904925" w:rsidRDefault="00904925" w:rsidP="00904925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and Access Management (IAM)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is fragmented. A centralized cloud identity system creates a seamless, secure environment for both entities.</w:t>
      </w:r>
    </w:p>
    <w:p w14:paraId="5B82AB6A" w14:textId="77777777" w:rsidR="00904925" w:rsidRPr="00904925" w:rsidRDefault="00904925" w:rsidP="00904925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Interconnection: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guardrails reinforce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Security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policy, ensuring compliance without slowing down the </w:t>
      </w:r>
      <w:r w:rsidRPr="009049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6D67A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Operations Perspective</w:t>
      </w:r>
    </w:p>
    <w:p w14:paraId="1E8EDF6A" w14:textId="77777777" w:rsidR="00904925" w:rsidRPr="00904925" w:rsidRDefault="00904925" w:rsidP="00904925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&amp; Continuity: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Our DR site is a cost center. Cloud migration offers multi-Region architecture for superior resilience at lower cost.</w:t>
      </w:r>
    </w:p>
    <w:p w14:paraId="6A1D97DB" w14:textId="77777777" w:rsidR="00904925" w:rsidRPr="00904925" w:rsidRDefault="00904925" w:rsidP="00904925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Gap: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is siloed. A unified cloud control plane provides the "single pane of glass" needed to monitor the hybrid edge/cloud ecosystem.</w:t>
      </w:r>
    </w:p>
    <w:p w14:paraId="0C57AF29" w14:textId="77777777" w:rsidR="00904925" w:rsidRPr="00904925" w:rsidRDefault="00904925" w:rsidP="0090492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Recommendation &amp; Comparative Analysis</w:t>
      </w:r>
    </w:p>
    <w:p w14:paraId="1AE78260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I strongly recommend </w:t>
      </w: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3: Cloud Migration Strategy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984"/>
        <w:gridCol w:w="8381"/>
      </w:tblGrid>
      <w:tr w:rsidR="00904925" w:rsidRPr="00904925" w14:paraId="29B876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1657B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F9E7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5BAB5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Justification</w:t>
            </w:r>
          </w:p>
        </w:tc>
      </w:tr>
      <w:tr w:rsidR="00904925" w:rsidRPr="00904925" w14:paraId="289C0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85C3C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1: On-Prem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723F0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AAC97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Misalignment.</w:t>
            </w:r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 18-month buildout guarantees missing the July 2026 deadline. It forces a cloud-native acquisition backward, reducing the agility we acquired.</w:t>
            </w:r>
          </w:p>
        </w:tc>
      </w:tr>
      <w:tr w:rsidR="00904925" w:rsidRPr="00904925" w14:paraId="12C29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96004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2: Hybrid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53EB0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B97B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Operational Risk.</w:t>
            </w:r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Managing two distinct stacks doubles the security surface area and creates a permanent technical and cultural silo, hindering integration.</w:t>
            </w:r>
          </w:p>
        </w:tc>
      </w:tr>
      <w:tr w:rsidR="00904925" w:rsidRPr="00904925" w14:paraId="39A1B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14C4E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3: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92175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5462A" w14:textId="77777777" w:rsidR="00904925" w:rsidRPr="00904925" w:rsidRDefault="00904925" w:rsidP="00904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9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Alignment.</w:t>
            </w:r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Solves the rack/</w:t>
            </w:r>
            <w:proofErr w:type="spellStart"/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CapEx</w:t>
            </w:r>
            <w:proofErr w:type="spellEnd"/>
            <w:r w:rsidRPr="009049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crisis instantly. It aligns with the acquisition's tech stack, modernizes legacy IT, and meets the critical timeline.</w:t>
            </w:r>
          </w:p>
        </w:tc>
      </w:tr>
    </w:tbl>
    <w:p w14:paraId="0AED65B5" w14:textId="77777777" w:rsidR="00904925" w:rsidRPr="00904925" w:rsidRDefault="00904925" w:rsidP="0090492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 Journey (CAF Roadmap)</w:t>
      </w:r>
    </w:p>
    <w:p w14:paraId="50639430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To execute this strategy while managing risk, we will follow the CAF phases:</w:t>
      </w:r>
    </w:p>
    <w:p w14:paraId="1738E190" w14:textId="77777777" w:rsidR="00904925" w:rsidRPr="00904925" w:rsidRDefault="00904925" w:rsidP="0090492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Envision: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Align leadership on cloud value and business outcomes (Immediate).</w:t>
      </w:r>
    </w:p>
    <w:p w14:paraId="7C3208E8" w14:textId="77777777" w:rsidR="00904925" w:rsidRPr="00904925" w:rsidRDefault="00904925" w:rsidP="0090492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Form a Cloud Center of Excellence (</w:t>
      </w:r>
      <w:proofErr w:type="spellStart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>CCoE</w:t>
      </w:r>
      <w:proofErr w:type="spellEnd"/>
      <w:r w:rsidRPr="00904925">
        <w:rPr>
          <w:rFonts w:ascii="Times New Roman" w:eastAsia="Times New Roman" w:hAnsi="Times New Roman" w:cs="Times New Roman"/>
          <w:kern w:val="0"/>
          <w14:ligatures w14:val="none"/>
        </w:rPr>
        <w:t>) to bridge APC and SLS talent and assess gaps (Month 1).</w:t>
      </w:r>
    </w:p>
    <w:p w14:paraId="268CA3F2" w14:textId="77777777" w:rsidR="00904925" w:rsidRPr="00904925" w:rsidRDefault="00904925" w:rsidP="0090492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Pilot non-critical workloads (Email, Backups) to build confidence and test security guardrails (Months 2-3).</w:t>
      </w:r>
    </w:p>
    <w:p w14:paraId="7C7A3189" w14:textId="77777777" w:rsidR="00904925" w:rsidRPr="00904925" w:rsidRDefault="00904925" w:rsidP="0090492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Scale:</w:t>
      </w:r>
      <w:r w:rsidRPr="00904925">
        <w:rPr>
          <w:rFonts w:ascii="Times New Roman" w:eastAsia="Times New Roman" w:hAnsi="Times New Roman" w:cs="Times New Roman"/>
          <w:kern w:val="0"/>
          <w14:ligatures w14:val="none"/>
        </w:rPr>
        <w:t xml:space="preserve"> Migrate ERP and integrate SLS analytics to hit the July 2026 target (Months 4-9).</w:t>
      </w:r>
    </w:p>
    <w:p w14:paraId="76CB3E91" w14:textId="77777777" w:rsidR="00904925" w:rsidRPr="00904925" w:rsidRDefault="00904925" w:rsidP="0090492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925">
        <w:rPr>
          <w:rFonts w:ascii="Times New Roman" w:eastAsia="Times New Roman" w:hAnsi="Times New Roman" w:cs="Times New Roman"/>
          <w:kern w:val="0"/>
          <w14:ligatures w14:val="none"/>
        </w:rPr>
        <w:t>This approach ensures we deliver the integrated product on time while strictly controlling risk.</w:t>
      </w:r>
    </w:p>
    <w:p w14:paraId="1B069EE4" w14:textId="77777777" w:rsidR="004F482D" w:rsidRPr="00904925" w:rsidRDefault="004F482D">
      <w:pPr>
        <w:rPr>
          <w:rFonts w:ascii="Times New Roman" w:hAnsi="Times New Roman" w:cs="Times New Roman"/>
        </w:rPr>
      </w:pPr>
    </w:p>
    <w:sectPr w:rsidR="004F482D" w:rsidRPr="00904925" w:rsidSect="009049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D4C"/>
    <w:multiLevelType w:val="multilevel"/>
    <w:tmpl w:val="A59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D511D"/>
    <w:multiLevelType w:val="multilevel"/>
    <w:tmpl w:val="152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079FB"/>
    <w:multiLevelType w:val="multilevel"/>
    <w:tmpl w:val="B5A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1686B"/>
    <w:multiLevelType w:val="multilevel"/>
    <w:tmpl w:val="523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A2888"/>
    <w:multiLevelType w:val="multilevel"/>
    <w:tmpl w:val="39A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21230"/>
    <w:multiLevelType w:val="multilevel"/>
    <w:tmpl w:val="FBD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E1D7C"/>
    <w:multiLevelType w:val="multilevel"/>
    <w:tmpl w:val="A31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2388">
    <w:abstractNumId w:val="0"/>
  </w:num>
  <w:num w:numId="2" w16cid:durableId="665518515">
    <w:abstractNumId w:val="1"/>
  </w:num>
  <w:num w:numId="3" w16cid:durableId="1473669245">
    <w:abstractNumId w:val="4"/>
  </w:num>
  <w:num w:numId="4" w16cid:durableId="1126386788">
    <w:abstractNumId w:val="3"/>
  </w:num>
  <w:num w:numId="5" w16cid:durableId="1823813881">
    <w:abstractNumId w:val="5"/>
  </w:num>
  <w:num w:numId="6" w16cid:durableId="1451049126">
    <w:abstractNumId w:val="6"/>
  </w:num>
  <w:num w:numId="7" w16cid:durableId="91968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25"/>
    <w:rsid w:val="000E0409"/>
    <w:rsid w:val="002C1008"/>
    <w:rsid w:val="004F482D"/>
    <w:rsid w:val="00667E6E"/>
    <w:rsid w:val="00904925"/>
    <w:rsid w:val="00A55079"/>
    <w:rsid w:val="00BC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B435"/>
  <w15:chartTrackingRefBased/>
  <w15:docId w15:val="{00DDDBBC-051E-C54F-8380-651DADCA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49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4</cp:revision>
  <dcterms:created xsi:type="dcterms:W3CDTF">2025-12-10T02:31:00Z</dcterms:created>
  <dcterms:modified xsi:type="dcterms:W3CDTF">2025-12-10T02:34:00Z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B825DDD9-6F5D-4AAC-91C5-0AE9D331D000</vt:lpwstr>
  </property>
</Properties>
</file>